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TERMO DE REFERÊNCIA</w:t>
      </w:r>
    </w:p>
    <w:p w:rsidR="00000000" w:rsidDel="00000000" w:rsidP="00000000" w:rsidRDefault="00000000" w:rsidRPr="00000000" w14:paraId="00000002">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(Processo de Dispensa de Licitação n° 029/2026)</w:t>
      </w:r>
    </w:p>
    <w:p w:rsidR="00000000" w:rsidDel="00000000" w:rsidP="00000000" w:rsidRDefault="00000000" w:rsidRPr="00000000" w14:paraId="00000003">
      <w:pP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Unidade Requisitante: </w:t>
      </w:r>
      <w:r w:rsidDel="00000000" w:rsidR="00000000" w:rsidRPr="00000000">
        <w:rPr>
          <w:rFonts w:ascii="Times New Roman" w:cs="Times New Roman" w:eastAsia="Times New Roman" w:hAnsi="Times New Roman"/>
          <w:rtl w:val="0"/>
        </w:rPr>
        <w:t xml:space="preserve">Superintendência</w:t>
      </w:r>
    </w:p>
    <w:p w:rsidR="00000000" w:rsidDel="00000000" w:rsidP="00000000" w:rsidRDefault="00000000" w:rsidRPr="00000000" w14:paraId="00000005">
      <w:pPr>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1"/>
        <w:tblW w:w="9525.0" w:type="dxa"/>
        <w:jc w:val="left"/>
        <w:tblInd w:w="-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25"/>
        <w:tblGridChange w:id="0">
          <w:tblGrid>
            <w:gridCol w:w="9525"/>
          </w:tblGrid>
        </w:tblGridChange>
      </w:tblGrid>
      <w:tr>
        <w:trPr>
          <w:cantSplit w:val="0"/>
          <w:trHeight w:val="285" w:hRule="atLeast"/>
          <w:tblHeader w:val="0"/>
        </w:trPr>
        <w:tc>
          <w:tcPr>
            <w:shd w:fill="5b9bd5" w:val="clear"/>
          </w:tcPr>
          <w:p w:rsidR="00000000" w:rsidDel="00000000" w:rsidP="00000000" w:rsidRDefault="00000000" w:rsidRPr="00000000" w14:paraId="00000006">
            <w:pPr>
              <w:numPr>
                <w:ilvl w:val="0"/>
                <w:numId w:val="1"/>
              </w:numPr>
              <w:tabs>
                <w:tab w:val="left" w:leader="none" w:pos="284"/>
              </w:tabs>
              <w:spacing w:after="0" w:before="0" w:line="276" w:lineRule="auto"/>
              <w:ind w:left="720" w:hanging="360"/>
              <w:jc w:val="both"/>
              <w:rPr>
                <w:rFonts w:ascii="Times New Roman" w:cs="Times New Roman" w:eastAsia="Times New Roman" w:hAnsi="Times New Roman"/>
                <w:sz w:val="22"/>
                <w:szCs w:val="22"/>
              </w:rPr>
            </w:pPr>
            <w:bookmarkStart w:colFirst="0" w:colLast="0" w:name="_heading=h.gjdgxs" w:id="0"/>
            <w:bookmarkEnd w:id="0"/>
            <w:r w:rsidDel="00000000" w:rsidR="00000000" w:rsidRPr="00000000">
              <w:rPr>
                <w:rFonts w:ascii="Times New Roman" w:cs="Times New Roman" w:eastAsia="Times New Roman" w:hAnsi="Times New Roman"/>
                <w:b w:val="1"/>
                <w:bCs w:val="1"/>
                <w:sz w:val="22"/>
                <w:szCs w:val="22"/>
                <w:rtl w:val="0"/>
              </w:rPr>
              <w:t xml:space="preserve">DAS CONDIÇÕES GERAIS DA CONTRATAÇÃO </w:t>
            </w:r>
            <w:r w:rsidDel="00000000" w:rsidR="00000000" w:rsidRPr="00000000">
              <w:rPr>
                <w:rtl w:val="0"/>
              </w:rPr>
            </w:r>
          </w:p>
        </w:tc>
      </w:tr>
    </w:tbl>
    <w:p w:rsidR="00000000" w:rsidDel="00000000" w:rsidP="00000000" w:rsidRDefault="00000000" w:rsidRPr="00000000" w14:paraId="00000007">
      <w:pPr>
        <w:shd w:fill="ffffff" w:val="clea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numPr>
          <w:ilvl w:val="1"/>
          <w:numId w:val="1"/>
        </w:numPr>
        <w:shd w:fill="ffffff" w:val="clear"/>
        <w:tabs>
          <w:tab w:val="left" w:leader="none" w:pos="426"/>
        </w:tabs>
        <w:spacing w:after="0" w:before="0" w:line="276" w:lineRule="auto"/>
        <w:ind w:left="108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 Objeto</w:t>
      </w:r>
      <w:r w:rsidDel="00000000" w:rsidR="00000000" w:rsidRPr="00000000">
        <w:rPr>
          <w:rtl w:val="0"/>
        </w:rPr>
      </w:r>
    </w:p>
    <w:p w:rsidR="00000000" w:rsidDel="00000000" w:rsidP="00000000" w:rsidRDefault="00000000" w:rsidRPr="00000000" w14:paraId="00000009">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A">
      <w:pPr>
        <w:shd w:fill="ffffff" w:val="clear"/>
        <w:tabs>
          <w:tab w:val="left" w:leader="none" w:pos="426"/>
        </w:tabs>
        <w:spacing w:after="0" w:before="0" w:line="276" w:lineRule="auto"/>
        <w:jc w:val="both"/>
        <w:rPr>
          <w:rFonts w:ascii="Times New Roman" w:cs="Times New Roman" w:eastAsia="Times New Roman" w:hAnsi="Times New Roman"/>
        </w:rPr>
      </w:pPr>
      <w:bookmarkStart w:colFirst="0" w:colLast="0" w:name="_heading=h.oca4cm8ryn38" w:id="1"/>
      <w:bookmarkEnd w:id="1"/>
      <w:r w:rsidDel="00000000" w:rsidR="00000000" w:rsidRPr="00000000">
        <w:rPr>
          <w:rFonts w:ascii="Times New Roman" w:cs="Times New Roman" w:eastAsia="Times New Roman" w:hAnsi="Times New Roman"/>
          <w:rtl w:val="0"/>
        </w:rPr>
        <w:tab/>
        <w:tab/>
        <w:t xml:space="preserve">O presente Termo de Referência tem como objeto a contratação emergencial de empresa especializada para execução de serviços de manutenção predial corretiva, compreendendo retelhamento, substituição e impermeabilização de calhas, vedação técnica de janelas, reparos e desobstrução de calhas e drenos do Conselho Regional de Corretores de Imóveis da 21ª Região – CRECI/PB.</w:t>
      </w:r>
    </w:p>
    <w:p w:rsidR="00000000" w:rsidDel="00000000" w:rsidP="00000000" w:rsidRDefault="00000000" w:rsidRPr="00000000" w14:paraId="0000000B">
      <w:pPr>
        <w:shd w:fill="ffffff" w:val="clear"/>
        <w:tabs>
          <w:tab w:val="left" w:leader="none" w:pos="426"/>
        </w:tabs>
        <w:spacing w:after="0" w:before="0" w:line="276" w:lineRule="auto"/>
        <w:jc w:val="both"/>
        <w:rPr>
          <w:rFonts w:ascii="Times New Roman" w:cs="Times New Roman" w:eastAsia="Times New Roman" w:hAnsi="Times New Roman"/>
          <w:b w:val="1"/>
          <w:bCs w:val="1"/>
        </w:rPr>
      </w:pPr>
      <w:bookmarkStart w:colFirst="0" w:colLast="0" w:name="_heading=h.pptrh0eoacf6" w:id="2"/>
      <w:bookmarkEnd w:id="2"/>
      <w:r w:rsidDel="00000000" w:rsidR="00000000" w:rsidRPr="00000000">
        <w:rPr>
          <w:rtl w:val="0"/>
        </w:rPr>
      </w:r>
    </w:p>
    <w:p w:rsidR="00000000" w:rsidDel="00000000" w:rsidP="00000000" w:rsidRDefault="00000000" w:rsidRPr="00000000" w14:paraId="0000000C">
      <w:pPr>
        <w:numPr>
          <w:ilvl w:val="1"/>
          <w:numId w:val="1"/>
        </w:numPr>
        <w:shd w:fill="ffffff" w:val="clear"/>
        <w:tabs>
          <w:tab w:val="left" w:leader="none" w:pos="426"/>
        </w:tabs>
        <w:spacing w:after="0" w:before="0" w:line="276" w:lineRule="auto"/>
        <w:ind w:left="108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Quadro Resumo</w:t>
      </w:r>
    </w:p>
    <w:p w:rsidR="00000000" w:rsidDel="00000000" w:rsidP="00000000" w:rsidRDefault="00000000" w:rsidRPr="00000000" w14:paraId="0000000D">
      <w:pPr>
        <w:shd w:fill="ffffff" w:val="clear"/>
        <w:tabs>
          <w:tab w:val="left" w:leader="none" w:pos="426"/>
        </w:tabs>
        <w:spacing w:after="0" w:before="0"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2"/>
        <w:tblW w:w="7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3840"/>
        <w:gridCol w:w="915"/>
        <w:gridCol w:w="1665"/>
        <w:tblGridChange w:id="0">
          <w:tblGrid>
            <w:gridCol w:w="660"/>
            <w:gridCol w:w="3840"/>
            <w:gridCol w:w="915"/>
            <w:gridCol w:w="1665"/>
          </w:tblGrid>
        </w:tblGridChange>
      </w:tblGrid>
      <w:tr>
        <w:trPr>
          <w:cantSplit w:val="0"/>
          <w:trHeight w:val="539" w:hRule="atLeast"/>
          <w:tblHeader w:val="0"/>
        </w:trPr>
        <w:tc>
          <w:tcPr>
            <w:shd w:fill="5b9bd5" w:val="clear"/>
          </w:tcPr>
          <w:p w:rsidR="00000000" w:rsidDel="00000000" w:rsidP="00000000" w:rsidRDefault="00000000" w:rsidRPr="00000000" w14:paraId="0000000E">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Item</w:t>
            </w:r>
          </w:p>
        </w:tc>
        <w:tc>
          <w:tcPr>
            <w:shd w:fill="5b9bd5" w:val="clear"/>
          </w:tcPr>
          <w:p w:rsidR="00000000" w:rsidDel="00000000" w:rsidP="00000000" w:rsidRDefault="00000000" w:rsidRPr="00000000" w14:paraId="0000000F">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Especificação</w:t>
            </w:r>
          </w:p>
        </w:tc>
        <w:tc>
          <w:tcPr>
            <w:shd w:fill="5b9bd5" w:val="clear"/>
          </w:tcPr>
          <w:p w:rsidR="00000000" w:rsidDel="00000000" w:rsidP="00000000" w:rsidRDefault="00000000" w:rsidRPr="00000000" w14:paraId="00000010">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Quant.</w:t>
            </w:r>
          </w:p>
        </w:tc>
        <w:tc>
          <w:tcPr>
            <w:shd w:fill="5b9bd5" w:val="clear"/>
          </w:tcPr>
          <w:p w:rsidR="00000000" w:rsidDel="00000000" w:rsidP="00000000" w:rsidRDefault="00000000" w:rsidRPr="00000000" w14:paraId="00000011">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Valor </w:t>
            </w:r>
          </w:p>
          <w:p w:rsidR="00000000" w:rsidDel="00000000" w:rsidP="00000000" w:rsidRDefault="00000000" w:rsidRPr="00000000" w14:paraId="00000012">
            <w:pPr>
              <w:tabs>
                <w:tab w:val="left" w:leader="none" w:pos="426"/>
              </w:tabs>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Total</w:t>
            </w:r>
          </w:p>
        </w:tc>
      </w:tr>
      <w:tr>
        <w:trPr>
          <w:cantSplit w:val="0"/>
          <w:trHeight w:val="920" w:hRule="atLeast"/>
          <w:tblHeader w:val="0"/>
        </w:trPr>
        <w:tc>
          <w:tcPr/>
          <w:p w:rsidR="00000000" w:rsidDel="00000000" w:rsidP="00000000" w:rsidRDefault="00000000" w:rsidRPr="00000000" w14:paraId="00000013">
            <w:pPr>
              <w:tabs>
                <w:tab w:val="left" w:leader="none" w:pos="426"/>
              </w:tabs>
              <w:spacing w:after="0"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tabs>
                <w:tab w:val="left" w:leader="none" w:pos="426"/>
              </w:tabs>
              <w:spacing w:after="0" w:before="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tabs>
                <w:tab w:val="left" w:leader="none" w:pos="426"/>
              </w:tabs>
              <w:spacing w:after="0" w:before="0" w:line="276"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tabs>
                <w:tab w:val="left" w:leader="none" w:pos="426"/>
              </w:tabs>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17">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Contratação emergencial de empresa especializada para execução de serviços de manutenção predial corretiva, compreendendo retelhamento, substituição e impermeabilização de calhas, vedação técnica de janelas, reparos e desobstrução de calhas e drenos do Conselho Regional de Corretores de Imóveis da 21ª Região – CRECI/PB.</w:t>
            </w:r>
          </w:p>
        </w:tc>
        <w:tc>
          <w:tcPr>
            <w:vAlign w:val="center"/>
          </w:tcPr>
          <w:p w:rsidR="00000000" w:rsidDel="00000000" w:rsidP="00000000" w:rsidRDefault="00000000" w:rsidRPr="00000000" w14:paraId="00000018">
            <w:pPr>
              <w:tabs>
                <w:tab w:val="left" w:leader="none" w:pos="426"/>
              </w:tabs>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019">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R$ 13.229,40</w:t>
            </w:r>
          </w:p>
        </w:tc>
      </w:tr>
    </w:tbl>
    <w:p w:rsidR="00000000" w:rsidDel="00000000" w:rsidP="00000000" w:rsidRDefault="00000000" w:rsidRPr="00000000" w14:paraId="0000001A">
      <w:pPr>
        <w:shd w:fill="ffffff" w:val="clear"/>
        <w:tabs>
          <w:tab w:val="left" w:leader="none" w:pos="426"/>
        </w:tabs>
        <w:spacing w:after="0" w:before="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numPr>
          <w:ilvl w:val="1"/>
          <w:numId w:val="1"/>
        </w:numPr>
        <w:shd w:fill="ffffff" w:val="clear"/>
        <w:tabs>
          <w:tab w:val="left" w:leader="none" w:pos="426"/>
        </w:tabs>
        <w:spacing w:after="0" w:before="0" w:line="276" w:lineRule="auto"/>
        <w:ind w:left="108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objeto é classificado como serviço comum de engenharia, por possuir padrões de desempenho e qualidade objetivamente definidos neste Termo de Referência, podendo ser especificado por meios usuais de mercado.</w:t>
      </w:r>
    </w:p>
    <w:p w:rsidR="00000000" w:rsidDel="00000000" w:rsidP="00000000" w:rsidRDefault="00000000" w:rsidRPr="00000000" w14:paraId="0000001C">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1"/>
          <w:numId w:val="1"/>
        </w:numPr>
        <w:shd w:fill="ffffff" w:val="clear"/>
        <w:tabs>
          <w:tab w:val="left" w:leader="none" w:pos="426"/>
        </w:tabs>
        <w:spacing w:after="0" w:before="0" w:line="276" w:lineRule="auto"/>
        <w:ind w:left="108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prazo de vigência do presente instrumento será de até 90 (noventa) dias, a contar da assinatura do contrato, vedada a prorrogação, nos termos do art. 75, inciso VIII, da Lei nº 14.133/2021.</w:t>
      </w:r>
    </w:p>
    <w:p w:rsidR="00000000" w:rsidDel="00000000" w:rsidP="00000000" w:rsidRDefault="00000000" w:rsidRPr="00000000" w14:paraId="0000001E">
      <w:pPr>
        <w:shd w:fill="ffffff" w:val="clear"/>
        <w:tabs>
          <w:tab w:val="left" w:leader="none" w:pos="426"/>
        </w:tabs>
        <w:spacing w:after="0" w:before="0" w:line="276" w:lineRule="auto"/>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1"/>
          <w:numId w:val="1"/>
        </w:numPr>
        <w:shd w:fill="ffffff" w:val="clear"/>
        <w:tabs>
          <w:tab w:val="left" w:leader="none" w:pos="426"/>
        </w:tabs>
        <w:spacing w:after="0" w:before="0" w:line="276" w:lineRule="auto"/>
        <w:ind w:left="108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Eventuais alterações contratuais obedecerão ao disposto na Minuta Contratual e no art. 124, da Lei nº 14.133/2021.</w:t>
      </w:r>
    </w:p>
    <w:p w:rsidR="00000000" w:rsidDel="00000000" w:rsidP="00000000" w:rsidRDefault="00000000" w:rsidRPr="00000000" w14:paraId="00000020">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3"/>
        <w:tblW w:w="9435.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35"/>
        <w:tblGridChange w:id="0">
          <w:tblGrid>
            <w:gridCol w:w="9435"/>
          </w:tblGrid>
        </w:tblGridChange>
      </w:tblGrid>
      <w:tr>
        <w:trPr>
          <w:cantSplit w:val="0"/>
          <w:trHeight w:val="300" w:hRule="atLeast"/>
          <w:tblHeader w:val="0"/>
        </w:trPr>
        <w:tc>
          <w:tcPr>
            <w:shd w:fill="5b9bd5" w:val="clear"/>
          </w:tcPr>
          <w:p w:rsidR="00000000" w:rsidDel="00000000" w:rsidP="00000000" w:rsidRDefault="00000000" w:rsidRPr="00000000" w14:paraId="00000021">
            <w:pPr>
              <w:spacing w:after="0" w:before="0" w:line="276" w:lineRule="auto"/>
              <w:jc w:val="both"/>
              <w:rPr>
                <w:rFonts w:ascii="Times New Roman" w:cs="Times New Roman" w:eastAsia="Times New Roman" w:hAnsi="Times New Roman"/>
                <w:sz w:val="22"/>
                <w:szCs w:val="22"/>
              </w:rPr>
            </w:pPr>
            <w:bookmarkStart w:colFirst="0" w:colLast="0" w:name="_heading=h.30j0zll" w:id="3"/>
            <w:bookmarkEnd w:id="3"/>
            <w:r w:rsidDel="00000000" w:rsidR="00000000" w:rsidRPr="00000000">
              <w:rPr>
                <w:rFonts w:ascii="Times New Roman" w:cs="Times New Roman" w:eastAsia="Times New Roman" w:hAnsi="Times New Roman"/>
                <w:b w:val="1"/>
                <w:bCs w:val="1"/>
                <w:sz w:val="22"/>
                <w:szCs w:val="22"/>
                <w:rtl w:val="0"/>
              </w:rPr>
              <w:t xml:space="preserve">2. DA FUNDAMENTAÇÃO E DA DESCRIÇÃO DA NECESSIDADE DA CONTRATAÇÃO</w:t>
            </w:r>
            <w:r w:rsidDel="00000000" w:rsidR="00000000" w:rsidRPr="00000000">
              <w:rPr>
                <w:rFonts w:ascii="Times New Roman" w:cs="Times New Roman" w:eastAsia="Times New Roman" w:hAnsi="Times New Roman"/>
                <w:sz w:val="22"/>
                <w:szCs w:val="22"/>
                <w:rtl w:val="0"/>
              </w:rPr>
              <w:t xml:space="preserve"> </w:t>
            </w:r>
          </w:p>
        </w:tc>
      </w:tr>
    </w:tbl>
    <w:p w:rsidR="00000000" w:rsidDel="00000000" w:rsidP="00000000" w:rsidRDefault="00000000" w:rsidRPr="00000000" w14:paraId="00000022">
      <w:pPr>
        <w:shd w:fill="ffffff" w:val="clear"/>
        <w:tabs>
          <w:tab w:val="left" w:leader="none" w:pos="426"/>
        </w:tabs>
        <w:spacing w:after="0" w:before="0" w:line="276"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Inicialmente, cumpre registrar que a solicitação em questão está fundamentada no respectivo Estudo Técnico Preliminar.</w:t>
      </w:r>
    </w:p>
    <w:p w:rsidR="00000000" w:rsidDel="00000000" w:rsidP="00000000" w:rsidRDefault="00000000" w:rsidRPr="00000000" w14:paraId="00000024">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A presente contratação tem por objetivo atender à necessidade emergencial e inadiável de execução de serviços de manutenção predial corretiva nas dependências do Conselho Regional de Corretores de Imóveis da 21ª Região – CRECI/PB, compreendendo retelhamento, substituição e impermeabilização de calhas, vedação técnica de janelas, reparos e desobstrução de calhas e drenos.</w:t>
      </w:r>
    </w:p>
    <w:p w:rsidR="00000000" w:rsidDel="00000000" w:rsidP="00000000" w:rsidRDefault="00000000" w:rsidRPr="00000000" w14:paraId="00000026">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A necessidade decorre da constatação de sinais aparentes de infiltração, umidade, manchas em paredes e tetos, deterioração de pintura e revestimentos, bem como indícios de falhas em pontos de cobertura, drenagem, calhas e vedação de esquadrias. Os registros fotográficos juntados aos autos evidenciam a existência de áreas afetadas por umidade e degradação localizada, especialmente em locais sujeitos à incidência de águas pluviais, o que revela risco concreto de agravamento dos danos caso não sejam adotadas providências corretivas imediatas.</w:t>
      </w:r>
    </w:p>
    <w:p w:rsidR="00000000" w:rsidDel="00000000" w:rsidP="00000000" w:rsidRDefault="00000000" w:rsidRPr="00000000" w14:paraId="00000028">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A situação identificada não se limita a uma demanda ordinária de conservação predial ou melhoria estética. Trata-se de intervenção necessária para conter ou corrigir falhas que podem ampliar infiltrações, comprometer elementos construtivos, deteriorar bens móveis, equipamentos e instalações internas, além de afetar a salubridade dos ambientes e a adequada continuidade das atividades administrativas do Conselho. A permanência do quadro atual tende a elevar os custos futuros de reparação e a potencializar os prejuízos ao patrimônio público sob responsabilidade do CRECI/PB.</w:t>
      </w:r>
    </w:p>
    <w:p w:rsidR="00000000" w:rsidDel="00000000" w:rsidP="00000000" w:rsidRDefault="00000000" w:rsidRPr="00000000" w14:paraId="0000002A">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Diante desse cenário, a contratação justifica-se com fundamento no art. 75, inciso VIII, da Lei nº 14.133/2021, por se tratar de situação emergencial apta a ocasionar prejuízo e comprometer a segurança de obras, serviços, equipamentos e outros bens públicos, caso não seja adotada solução imediata. A contratação emergencial, portanto, destina-se exclusivamente à execução das parcelas necessárias ao atendimento da situação verificada, restringindo-se aos serviços indispensáveis à contenção, correção e mitigação dos danos atualmente identificados.</w:t>
      </w:r>
    </w:p>
    <w:p w:rsidR="00000000" w:rsidDel="00000000" w:rsidP="00000000" w:rsidRDefault="00000000" w:rsidRPr="00000000" w14:paraId="0000002C">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A urgência da medida decorre da própria natureza dos problemas constatados. Em situações de infiltração, deficiência de escoamento de águas pluviais, falhas em calhas, drenos, cobertura e vedação de esquadrias, a demora na intervenção pode agravar progressivamente o dano, ampliar a área afetada, comprometer ambientes internos e gerar maior dispêndio ao Conselho. Por essa razão, a realização de procedimento licitatório ordinário, no caso concreto, mostra-se incompatível com a necessidade de resposta célere para preservação dos bens e instalações da Autarquia.</w:t>
      </w:r>
    </w:p>
    <w:p w:rsidR="00000000" w:rsidDel="00000000" w:rsidP="00000000" w:rsidRDefault="00000000" w:rsidRPr="00000000" w14:paraId="0000002E">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A contratação pretendida encontra-se alinhada aos princípios da legalidade, eficiência, motivação, razoabilidade, proporcionalidade, economicidade, planejamento possível e preservação do interesse público, devendo ser instruída, entre outros elementos, por:</w:t>
      </w:r>
    </w:p>
    <w:p w:rsidR="00000000" w:rsidDel="00000000" w:rsidP="00000000" w:rsidRDefault="00000000" w:rsidRPr="00000000" w14:paraId="00000030">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1">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 Documento de Formalização da Demanda – DFD;</w:t>
      </w:r>
    </w:p>
    <w:p w:rsidR="00000000" w:rsidDel="00000000" w:rsidP="00000000" w:rsidRDefault="00000000" w:rsidRPr="00000000" w14:paraId="00000032">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2.7.2. descrição circunstanciada da situação emergencial e da necessidade administrativa;</w:t>
      </w:r>
    </w:p>
    <w:p w:rsidR="00000000" w:rsidDel="00000000" w:rsidP="00000000" w:rsidRDefault="00000000" w:rsidRPr="00000000" w14:paraId="00000034">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2.7.3. registros fotográficos das áreas afetadas;</w:t>
      </w:r>
    </w:p>
    <w:p w:rsidR="00000000" w:rsidDel="00000000" w:rsidP="00000000" w:rsidRDefault="00000000" w:rsidRPr="00000000" w14:paraId="00000036">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2.7.4. justificativa técnica da urgência e do risco de agravamento dos danos;</w:t>
      </w:r>
    </w:p>
    <w:p w:rsidR="00000000" w:rsidDel="00000000" w:rsidP="00000000" w:rsidRDefault="00000000" w:rsidRPr="00000000" w14:paraId="00000038">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2.7.5. delimitação dos serviços estritamente necessários ao enfrentamento da situação emergencial;</w:t>
      </w:r>
    </w:p>
    <w:p w:rsidR="00000000" w:rsidDel="00000000" w:rsidP="00000000" w:rsidRDefault="00000000" w:rsidRPr="00000000" w14:paraId="0000003A">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2.7.6. proposta comercial apresentada pela empresa NOSSA CASA EMPREENDIMENTOS IMOBILIÁRIOS LTDA., inscrita no CNPJ nº 20.750.124/0001-00, no valor global de R$ 13.229,40;</w:t>
      </w:r>
    </w:p>
    <w:p w:rsidR="00000000" w:rsidDel="00000000" w:rsidP="00000000" w:rsidRDefault="00000000" w:rsidRPr="00000000" w14:paraId="0000003C">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 justificativa de preços, com indicação dos parâmetros utilizados para aferição da compatibilidade do valor proposto com o mercado;</w:t>
      </w:r>
    </w:p>
    <w:p w:rsidR="00000000" w:rsidDel="00000000" w:rsidP="00000000" w:rsidRDefault="00000000" w:rsidRPr="00000000" w14:paraId="0000003E">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2.7.8.  mapa de riscos e demais documentos pertinentes à instrução da contratação direta.</w:t>
      </w:r>
    </w:p>
    <w:p w:rsidR="00000000" w:rsidDel="00000000" w:rsidP="00000000" w:rsidRDefault="00000000" w:rsidRPr="00000000" w14:paraId="00000040">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A adoção da medida ora proposta visa preservar o patrimônio do Conselho, evitar o agravamento dos danos já constatados, reduzir riscos à salubridade dos ambientes e assegurar condições adequadas de funcionamento das atividades administrativas e institucionais do CRECI/PB, em observância ao interesse público e ao regime jurídico aplicável às contratações públicas.</w:t>
      </w:r>
    </w:p>
    <w:p w:rsidR="00000000" w:rsidDel="00000000" w:rsidP="00000000" w:rsidRDefault="00000000" w:rsidRPr="00000000" w14:paraId="00000042">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4"/>
        <w:tblW w:w="9450.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50"/>
        <w:tblGridChange w:id="0">
          <w:tblGrid>
            <w:gridCol w:w="9450"/>
          </w:tblGrid>
        </w:tblGridChange>
      </w:tblGrid>
      <w:tr>
        <w:trPr>
          <w:cantSplit w:val="0"/>
          <w:trHeight w:val="570" w:hRule="atLeast"/>
          <w:tblHeader w:val="0"/>
        </w:trPr>
        <w:tc>
          <w:tcPr>
            <w:shd w:fill="5b9bd5" w:val="clear"/>
          </w:tcPr>
          <w:p w:rsidR="00000000" w:rsidDel="00000000" w:rsidP="00000000" w:rsidRDefault="00000000" w:rsidRPr="00000000" w14:paraId="00000043">
            <w:pPr>
              <w:spacing w:after="0" w:before="0" w:line="276" w:lineRule="auto"/>
              <w:jc w:val="both"/>
              <w:rPr>
                <w:rFonts w:ascii="Times New Roman" w:cs="Times New Roman" w:eastAsia="Times New Roman" w:hAnsi="Times New Roman"/>
                <w:sz w:val="22"/>
                <w:szCs w:val="22"/>
              </w:rPr>
            </w:pPr>
            <w:bookmarkStart w:colFirst="0" w:colLast="0" w:name="_heading=h.1fob9te" w:id="4"/>
            <w:bookmarkEnd w:id="4"/>
            <w:r w:rsidDel="00000000" w:rsidR="00000000" w:rsidRPr="00000000">
              <w:rPr>
                <w:rFonts w:ascii="Times New Roman" w:cs="Times New Roman" w:eastAsia="Times New Roman" w:hAnsi="Times New Roman"/>
                <w:b w:val="1"/>
                <w:bCs w:val="1"/>
                <w:sz w:val="22"/>
                <w:szCs w:val="22"/>
                <w:rtl w:val="0"/>
              </w:rPr>
              <w:t xml:space="preserve">3. DA DESCRIÇÃO DA SOLUÇÃO CONSIDERADO O CICLO DE VIDA DO OBJETO E DA ESPECIFICAÇÃO DO PRODUTO </w:t>
            </w:r>
            <w:r w:rsidDel="00000000" w:rsidR="00000000" w:rsidRPr="00000000">
              <w:rPr>
                <w:rtl w:val="0"/>
              </w:rPr>
            </w:r>
          </w:p>
        </w:tc>
      </w:tr>
    </w:tbl>
    <w:p w:rsidR="00000000" w:rsidDel="00000000" w:rsidP="00000000" w:rsidRDefault="00000000" w:rsidRPr="00000000" w14:paraId="00000044">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A solução a ser contratada compreende a execução de serviços de manutenção predial corretiva, em caráter emergencial, nas dependências do Conselho Regional de Corretores de Imóveis da 21ª Região – CRECI/PB, englobando o fornecimento de mão de obra qualificada, materiais, ferramentas, equipamentos, insumos e demais elementos necessários à execução dos serviços de retelhamento, substituição e impermeabilização de calhas, vedação técnica de janelas, reparos e desobstrução de calhas e drenos.</w:t>
      </w:r>
    </w:p>
    <w:p w:rsidR="00000000" w:rsidDel="00000000" w:rsidP="00000000" w:rsidRDefault="00000000" w:rsidRPr="00000000" w14:paraId="00000046">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A contratação tem por finalidade conter e corrigir falhas prediais relacionadas à entrada e ao escoamento de águas pluviais, especialmente diante da constatação de sinais aparentes de infiltração, umidade, manchas em paredes e tetos, deterioração de pintura e revestimentos, bem como possíveis falhas em cobertura, calhas, algerozes, drenos e pontos de vedação de esquadrias.</w:t>
      </w:r>
    </w:p>
    <w:p w:rsidR="00000000" w:rsidDel="00000000" w:rsidP="00000000" w:rsidRDefault="00000000" w:rsidRPr="00000000" w14:paraId="00000048">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A solução deve ser estruturada de modo a contemplar não apenas a execução imediata dos serviços corretivos, mas também a durabilidade mínima esperada da intervenção, a preservação do patrimônio institucional e a redução do risco de reincidência dos problemas identificados. A contratação busca assegurar que os serviços sejam executados de forma técnica, coordenada e integrada, permitindo a correção dos pontos críticos, a proteção das áreas afetadas e a mitigação de danos ao imóvel, aos bens e às instalações do Conselho.</w:t>
      </w:r>
    </w:p>
    <w:p w:rsidR="00000000" w:rsidDel="00000000" w:rsidP="00000000" w:rsidRDefault="00000000" w:rsidRPr="00000000" w14:paraId="0000004A">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Considerando a natureza emergencial da demanda, a contratação não se destina à realização de obra de ampliação, modernização estética ou reforma ordinária ampla, mas sim à execução de intervenções corretivas indispensáveis para evitar o agravamento das infiltrações e dos danos já constatados. A solução pretendida deve permanecer limitada às parcelas necessárias ao atendimento da situação emergencial, observada a compatibilidade entre os serviços previstos e os registros fotográficos, a proposta comercial e a manifestação técnica ou administrativa juntada aos autos.</w:t>
      </w:r>
    </w:p>
    <w:p w:rsidR="00000000" w:rsidDel="00000000" w:rsidP="00000000" w:rsidRDefault="00000000" w:rsidRPr="00000000" w14:paraId="0000004C">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A realização de contratação global do objeto mostra-se mais adequada e eficiente do que a adoção de contratações pontuais, fragmentadas ou divididas por serviço isolado, uma vez que as atividades previstas possuem relação de interdependência técnica. O retelhamento, a substituição e impermeabilização de calhas, a aplicação de manta, a vedação de esquadrias e a desobstrução de drenos e calhas compõem uma solução integrada para enfrentamento das infiltrações e falhas de escoamento identificadas.</w:t>
      </w:r>
    </w:p>
    <w:p w:rsidR="00000000" w:rsidDel="00000000" w:rsidP="00000000" w:rsidRDefault="00000000" w:rsidRPr="00000000" w14:paraId="0000004E">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A concentração da responsabilidade em uma única empresa permite melhor compatibilização entre os serviços, maior controle da execução, redução de riscos de retrabalho, melhor acompanhamento pela fiscalização contratual e responsabilização objetiva da contratada quanto à qualidade da intervenção executada, especialmente quanto à estanqueidade, funcionalidade e durabilidade dos reparos realizados.</w:t>
      </w:r>
    </w:p>
    <w:p w:rsidR="00000000" w:rsidDel="00000000" w:rsidP="00000000" w:rsidRDefault="00000000" w:rsidRPr="00000000" w14:paraId="00000050">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Para garantir a implementação adequada da solução pretendida, estima-se como escopo mínimo da contratação a execução dos seguintes serviços e fornecimentos:</w:t>
      </w:r>
    </w:p>
    <w:p w:rsidR="00000000" w:rsidDel="00000000" w:rsidP="00000000" w:rsidRDefault="00000000" w:rsidRPr="00000000" w14:paraId="00000052">
      <w:pPr>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5"/>
        <w:tblW w:w="942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4335"/>
        <w:gridCol w:w="4335"/>
        <w:tblGridChange w:id="0">
          <w:tblGrid>
            <w:gridCol w:w="750"/>
            <w:gridCol w:w="4335"/>
            <w:gridCol w:w="4335"/>
          </w:tblGrid>
        </w:tblGridChange>
      </w:tblGrid>
      <w:tr>
        <w:trPr>
          <w:cantSplit w:val="0"/>
          <w:trHeight w:val="420" w:hRule="atLeast"/>
          <w:tblHeader w:val="0"/>
        </w:trPr>
        <w:tc>
          <w:tcPr>
            <w:shd w:fill="5b9bd5" w:val="clear"/>
            <w:vAlign w:val="center"/>
          </w:tcPr>
          <w:p w:rsidR="00000000" w:rsidDel="00000000" w:rsidP="00000000" w:rsidRDefault="00000000" w:rsidRPr="00000000" w14:paraId="00000053">
            <w:pPr>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ITEM</w:t>
            </w:r>
          </w:p>
        </w:tc>
        <w:tc>
          <w:tcPr>
            <w:shd w:fill="5b9bd5" w:val="clear"/>
            <w:vAlign w:val="center"/>
          </w:tcPr>
          <w:p w:rsidR="00000000" w:rsidDel="00000000" w:rsidP="00000000" w:rsidRDefault="00000000" w:rsidRPr="00000000" w14:paraId="00000054">
            <w:pPr>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DISCRIMINAÇÃO</w:t>
            </w:r>
          </w:p>
        </w:tc>
        <w:tc>
          <w:tcPr>
            <w:shd w:fill="5b9bd5" w:val="clear"/>
            <w:vAlign w:val="center"/>
          </w:tcPr>
          <w:p w:rsidR="00000000" w:rsidDel="00000000" w:rsidP="00000000" w:rsidRDefault="00000000" w:rsidRPr="00000000" w14:paraId="00000055">
            <w:pPr>
              <w:spacing w:after="0" w:before="0" w:line="276"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DESCRIÇÃO DOS SERVIÇOS</w:t>
            </w:r>
          </w:p>
        </w:tc>
      </w:tr>
      <w:tr>
        <w:trPr>
          <w:cantSplit w:val="0"/>
          <w:trHeight w:val="354.9609375" w:hRule="atLeast"/>
          <w:tblHeader w:val="0"/>
        </w:trPr>
        <w:tc>
          <w:tcPr>
            <w:vAlign w:val="center"/>
          </w:tcPr>
          <w:p w:rsidR="00000000" w:rsidDel="00000000" w:rsidP="00000000" w:rsidRDefault="00000000" w:rsidRPr="00000000" w14:paraId="00000056">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57">
            <w:pPr>
              <w:spacing w:after="0" w:before="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spacing w:after="0" w:before="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Administração e acompanhamento da execução</w:t>
            </w:r>
          </w:p>
        </w:tc>
        <w:tc>
          <w:tcPr/>
          <w:p w:rsidR="00000000" w:rsidDel="00000000" w:rsidP="00000000" w:rsidRDefault="00000000" w:rsidRPr="00000000" w14:paraId="0000005A">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Disponibilização de profissional responsável pela supervisão, orientação e acompanhamento dos serviços, incluindo engenheiro, supervisor ou mestre de obras, conforme necessidade da execução.</w:t>
            </w:r>
          </w:p>
        </w:tc>
      </w:tr>
      <w:tr>
        <w:trPr>
          <w:cantSplit w:val="0"/>
          <w:trHeight w:val="354.9609375" w:hRule="atLeast"/>
          <w:tblHeader w:val="0"/>
        </w:trPr>
        <w:tc>
          <w:tcPr>
            <w:vAlign w:val="center"/>
          </w:tcPr>
          <w:p w:rsidR="00000000" w:rsidDel="00000000" w:rsidP="00000000" w:rsidRDefault="00000000" w:rsidRPr="00000000" w14:paraId="0000005B">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05C">
            <w:pPr>
              <w:spacing w:after="0" w:before="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Instalação provisória e preparação da área</w:t>
            </w:r>
          </w:p>
        </w:tc>
        <w:tc>
          <w:tcPr/>
          <w:p w:rsidR="00000000" w:rsidDel="00000000" w:rsidP="00000000" w:rsidRDefault="00000000" w:rsidRPr="00000000" w14:paraId="0000005E">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Mobilização inicial, organização mínima do local de intervenção, preparação das áreas de trabalho e providências necessárias ao início seguro e adequado dos serviços.</w:t>
            </w:r>
          </w:p>
        </w:tc>
      </w:tr>
      <w:tr>
        <w:trPr>
          <w:cantSplit w:val="0"/>
          <w:trHeight w:val="354.9609375" w:hRule="atLeast"/>
          <w:tblHeader w:val="0"/>
        </w:trPr>
        <w:tc>
          <w:tcPr>
            <w:vAlign w:val="center"/>
          </w:tcPr>
          <w:p w:rsidR="00000000" w:rsidDel="00000000" w:rsidP="00000000" w:rsidRDefault="00000000" w:rsidRPr="00000000" w14:paraId="0000005F">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060">
            <w:pPr>
              <w:spacing w:after="0" w:before="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Retelhamento e substituição de calhas</w:t>
            </w:r>
          </w:p>
        </w:tc>
        <w:tc>
          <w:tcPr/>
          <w:p w:rsidR="00000000" w:rsidDel="00000000" w:rsidP="00000000" w:rsidRDefault="00000000" w:rsidRPr="00000000" w14:paraId="00000062">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Execução de retelhamento completo, com substituição das calhas de alumínio necessárias e correção dos pontos associados à cobertura, especialmente sobre a laje do vão da escada.</w:t>
            </w:r>
          </w:p>
        </w:tc>
      </w:tr>
      <w:tr>
        <w:trPr>
          <w:cantSplit w:val="0"/>
          <w:trHeight w:val="354.9609375" w:hRule="atLeast"/>
          <w:tblHeader w:val="0"/>
        </w:trPr>
        <w:tc>
          <w:tcPr>
            <w:vAlign w:val="center"/>
          </w:tcPr>
          <w:p w:rsidR="00000000" w:rsidDel="00000000" w:rsidP="00000000" w:rsidRDefault="00000000" w:rsidRPr="00000000" w14:paraId="00000063">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064">
            <w:pPr>
              <w:spacing w:after="0" w:before="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Impermeabilização com manta alumínio</w:t>
            </w:r>
          </w:p>
        </w:tc>
        <w:tc>
          <w:tcPr/>
          <w:p w:rsidR="00000000" w:rsidDel="00000000" w:rsidP="00000000" w:rsidRDefault="00000000" w:rsidRPr="00000000" w14:paraId="00000066">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Aplicação de manta alumínio de 3mm em áreas indicadas, incluindo calhas e algerozes, com o objetivo de reforçar a proteção contra infiltrações e reduzir a entrada de água nas áreas afetadas.</w:t>
            </w:r>
          </w:p>
        </w:tc>
      </w:tr>
      <w:tr>
        <w:trPr>
          <w:cantSplit w:val="0"/>
          <w:trHeight w:val="354.9609375" w:hRule="atLeast"/>
          <w:tblHeader w:val="0"/>
        </w:trPr>
        <w:tc>
          <w:tcPr>
            <w:vAlign w:val="center"/>
          </w:tcPr>
          <w:p w:rsidR="00000000" w:rsidDel="00000000" w:rsidP="00000000" w:rsidRDefault="00000000" w:rsidRPr="00000000" w14:paraId="00000067">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068">
            <w:pPr>
              <w:spacing w:after="0" w:before="0" w:line="276"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Vedação técnica de janelas</w:t>
            </w:r>
          </w:p>
        </w:tc>
        <w:tc>
          <w:tcPr/>
          <w:p w:rsidR="00000000" w:rsidDel="00000000" w:rsidP="00000000" w:rsidRDefault="00000000" w:rsidRPr="00000000" w14:paraId="0000006A">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Aplicação de silicone ou material tecnicamente adequado em janelas e esquadrias, visando corrigir falhas de vedação que possam contribuir para infiltrações ou entrada de água.</w:t>
            </w:r>
          </w:p>
        </w:tc>
      </w:tr>
      <w:tr>
        <w:trPr>
          <w:cantSplit w:val="0"/>
          <w:trHeight w:val="354.9609375" w:hRule="atLeast"/>
          <w:tblHeader w:val="0"/>
        </w:trPr>
        <w:tc>
          <w:tcPr>
            <w:vAlign w:val="center"/>
          </w:tcPr>
          <w:p w:rsidR="00000000" w:rsidDel="00000000" w:rsidP="00000000" w:rsidRDefault="00000000" w:rsidRPr="00000000" w14:paraId="0000006B">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06C">
            <w:pPr>
              <w:spacing w:after="0" w:before="0" w:line="276"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after="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Manutenção, reparos e desobstrução de calhas e drenos</w:t>
            </w:r>
          </w:p>
        </w:tc>
        <w:tc>
          <w:tcPr/>
          <w:p w:rsidR="00000000" w:rsidDel="00000000" w:rsidP="00000000" w:rsidRDefault="00000000" w:rsidRPr="00000000" w14:paraId="0000006E">
            <w:pPr>
              <w:spacing w:after="0" w:before="0" w:line="276" w:lineRule="auto"/>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Execução de serviços de limpeza, manutenção, reparo e desobstrução de calhas e drenos, de modo a restabelecer o escoamento adequado das águas pluviais e prevenir novos pontos de acúmulo ou retorno de água.</w:t>
            </w:r>
          </w:p>
        </w:tc>
      </w:tr>
    </w:tbl>
    <w:p w:rsidR="00000000" w:rsidDel="00000000" w:rsidP="00000000" w:rsidRDefault="00000000" w:rsidRPr="00000000" w14:paraId="0000006F">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Os resultados pretendidos com a contratação estão diretamente alinhados aos objetivos institucionais do CRECI/PB e ao interesse público, na medida em que a solução permitirá a contenção dos danos causados por infiltrações, a preservação do patrimônio institucional, a redução de riscos de deterioração de bens, equipamentos e instalações internas, a melhoria das condições de salubridade dos ambientes e a manutenção de condições adequadas para o regular desempenho das atividades administrativas e de atendimento ao público.</w:t>
      </w:r>
    </w:p>
    <w:p w:rsidR="00000000" w:rsidDel="00000000" w:rsidP="00000000" w:rsidRDefault="00000000" w:rsidRPr="00000000" w14:paraId="00000071">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 Essa abordagem assegura a plena realização dos objetivos institucionais do CRECI/PB, promovendo responsabilidade na gestão dos recursos públicos, preservação do patrimônio imobiliário, redução do risco de agravamento dos danos prediais, segurança na execução dos serviços e melhoria das condições de funcionamento dos ambientes afetados.</w:t>
      </w:r>
    </w:p>
    <w:p w:rsidR="00000000" w:rsidDel="00000000" w:rsidP="00000000" w:rsidRDefault="00000000" w:rsidRPr="00000000" w14:paraId="00000073">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6"/>
        <w:tblW w:w="946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5"/>
        <w:tblGridChange w:id="0">
          <w:tblGrid>
            <w:gridCol w:w="9465"/>
          </w:tblGrid>
        </w:tblGridChange>
      </w:tblGrid>
      <w:tr>
        <w:trPr>
          <w:cantSplit w:val="0"/>
          <w:trHeight w:val="300" w:hRule="atLeast"/>
          <w:tblHeader w:val="0"/>
        </w:trPr>
        <w:tc>
          <w:tcPr>
            <w:shd w:fill="5b9bd5" w:val="clear"/>
          </w:tcPr>
          <w:p w:rsidR="00000000" w:rsidDel="00000000" w:rsidP="00000000" w:rsidRDefault="00000000" w:rsidRPr="00000000" w14:paraId="00000074">
            <w:pPr>
              <w:spacing w:after="0" w:before="0" w:line="276" w:lineRule="auto"/>
              <w:jc w:val="both"/>
              <w:rPr>
                <w:rFonts w:ascii="Times New Roman" w:cs="Times New Roman" w:eastAsia="Times New Roman" w:hAnsi="Times New Roman"/>
                <w:sz w:val="22"/>
                <w:szCs w:val="22"/>
              </w:rPr>
            </w:pPr>
            <w:bookmarkStart w:colFirst="0" w:colLast="0" w:name="_heading=h.3znysh7" w:id="5"/>
            <w:bookmarkEnd w:id="5"/>
            <w:r w:rsidDel="00000000" w:rsidR="00000000" w:rsidRPr="00000000">
              <w:rPr>
                <w:rFonts w:ascii="Times New Roman" w:cs="Times New Roman" w:eastAsia="Times New Roman" w:hAnsi="Times New Roman"/>
                <w:b w:val="1"/>
                <w:bCs w:val="1"/>
                <w:sz w:val="22"/>
                <w:szCs w:val="22"/>
                <w:rtl w:val="0"/>
              </w:rPr>
              <w:t xml:space="preserve">4. DOS REQUISITOS DA CONTRATAÇÃO </w:t>
            </w: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4.1. As contratações</w:t>
      </w:r>
      <w:r w:rsidDel="00000000" w:rsidR="00000000" w:rsidRPr="00000000">
        <w:rPr>
          <w:rFonts w:ascii="Times New Roman" w:cs="Times New Roman" w:eastAsia="Times New Roman" w:hAnsi="Times New Roman"/>
          <w:color w:val="000000"/>
          <w:rtl w:val="0"/>
        </w:rPr>
        <w:t xml:space="preserve"> pela Administração Pública, por força do comando Constitucional albergado no art. 37, inciso XXI, devem seguir os regramentos e procedimentos legais instituídos para este fim. Confira-se:</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after="0" w:before="0" w:line="276" w:lineRule="auto"/>
        <w:ind w:left="22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Art. 37. A administração pública direta e indireta de qualquer dos Poderes da União, dos Estados, do Distrito Federal e dos Municípios obedecerá aos princípios de legalidade, impessoalidade, moralidade, publicidade e eficiência e, também, ao seguinte: [...]</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after="0" w:before="0" w:line="276" w:lineRule="auto"/>
        <w:ind w:left="22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XXI - </w:t>
      </w:r>
      <w:r w:rsidDel="00000000" w:rsidR="00000000" w:rsidRPr="00000000">
        <w:rPr>
          <w:rFonts w:ascii="Times New Roman" w:cs="Times New Roman" w:eastAsia="Times New Roman" w:hAnsi="Times New Roman"/>
          <w:b w:val="1"/>
          <w:bCs w:val="1"/>
          <w:color w:val="000000"/>
          <w:sz w:val="20"/>
          <w:szCs w:val="20"/>
          <w:rtl w:val="0"/>
        </w:rPr>
        <w:t xml:space="preserve">ressalvados os casos especificados na legislação</w:t>
      </w:r>
      <w:r w:rsidDel="00000000" w:rsidR="00000000" w:rsidRPr="00000000">
        <w:rPr>
          <w:rFonts w:ascii="Times New Roman" w:cs="Times New Roman" w:eastAsia="Times New Roman" w:hAnsi="Times New Roman"/>
          <w:color w:val="000000"/>
          <w:sz w:val="20"/>
          <w:szCs w:val="20"/>
          <w:rtl w:val="0"/>
        </w:rPr>
        <w:t xml:space="preserve">, as obras, serviços, compras e alienações </w:t>
      </w:r>
      <w:r w:rsidDel="00000000" w:rsidR="00000000" w:rsidRPr="00000000">
        <w:rPr>
          <w:rFonts w:ascii="Times New Roman" w:cs="Times New Roman" w:eastAsia="Times New Roman" w:hAnsi="Times New Roman"/>
          <w:b w:val="1"/>
          <w:bCs w:val="1"/>
          <w:color w:val="000000"/>
          <w:sz w:val="20"/>
          <w:szCs w:val="20"/>
          <w:rtl w:val="0"/>
        </w:rPr>
        <w:t xml:space="preserve">serão contratados mediante processo de licitação</w:t>
      </w:r>
      <w:r w:rsidDel="00000000" w:rsidR="00000000" w:rsidRPr="00000000">
        <w:rPr>
          <w:rFonts w:ascii="Times New Roman" w:cs="Times New Roman" w:eastAsia="Times New Roman" w:hAnsi="Times New Roman"/>
          <w:color w:val="000000"/>
          <w:sz w:val="20"/>
          <w:szCs w:val="20"/>
          <w:rtl w:val="0"/>
        </w:rPr>
        <w:t xml:space="preserve">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obrigações. </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after="0" w:before="0" w:line="276" w:lineRule="auto"/>
        <w:ind w:left="2268" w:firstLine="0"/>
        <w:jc w:val="right"/>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Grifos nossos.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4.2. </w:t>
      </w:r>
      <w:r w:rsidDel="00000000" w:rsidR="00000000" w:rsidRPr="00000000">
        <w:rPr>
          <w:rFonts w:ascii="Times New Roman" w:cs="Times New Roman" w:eastAsia="Times New Roman" w:hAnsi="Times New Roman"/>
          <w:color w:val="000000"/>
          <w:rtl w:val="0"/>
        </w:rPr>
        <w:t xml:space="preserve">O supracitado dispositivo constitucional, de seu turno, foi regulamentado pela Lei n° 14.133/2021, entre outras, que instituiu normas para licitações e contratações da Administração Pública, destinadas a garantir a observância do princípio constitucional da isonomia e da seleção da proposta mais vantajosa para a Administração (art. 5°, caput). </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4.3. </w:t>
      </w:r>
      <w:r w:rsidDel="00000000" w:rsidR="00000000" w:rsidRPr="00000000">
        <w:rPr>
          <w:rFonts w:ascii="Times New Roman" w:cs="Times New Roman" w:eastAsia="Times New Roman" w:hAnsi="Times New Roman"/>
          <w:color w:val="000000"/>
          <w:rtl w:val="0"/>
        </w:rPr>
        <w:t xml:space="preserve">Desses dispositivos, extrai-se a exigência, como regra geral, de licitação prévia para ajustes da Administração Pública, bem como regulamentação para as exceções. Isto porque há aquisições e contratações que possuem características que tornam impossíveis, inviáveis e/ou antieconômicas e desnecessárias as licitações nos trâmites usuais.</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4.4. </w:t>
      </w:r>
      <w:r w:rsidDel="00000000" w:rsidR="00000000" w:rsidRPr="00000000">
        <w:rPr>
          <w:rFonts w:ascii="Times New Roman" w:cs="Times New Roman" w:eastAsia="Times New Roman" w:hAnsi="Times New Roman"/>
          <w:color w:val="000000"/>
          <w:rtl w:val="0"/>
        </w:rPr>
        <w:t xml:space="preserve">Na ocorrência dessas situações, a Lei de Licitações e Contratações previu exceções à regra; entre elas, as licitações dispensáveis e inexigíveis (as chamadas dispensas e inexigibilidades de licitação).</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4.5. </w:t>
      </w:r>
      <w:r w:rsidDel="00000000" w:rsidR="00000000" w:rsidRPr="00000000">
        <w:rPr>
          <w:rFonts w:ascii="Times New Roman" w:cs="Times New Roman" w:eastAsia="Times New Roman" w:hAnsi="Times New Roman"/>
          <w:color w:val="000000"/>
          <w:rtl w:val="0"/>
        </w:rPr>
        <w:t xml:space="preserve">No caso concreto, a contratação almejada deve ser processada por </w:t>
      </w:r>
      <w:r w:rsidDel="00000000" w:rsidR="00000000" w:rsidRPr="00000000">
        <w:rPr>
          <w:rFonts w:ascii="Times New Roman" w:cs="Times New Roman" w:eastAsia="Times New Roman" w:hAnsi="Times New Roman"/>
          <w:b w:val="1"/>
          <w:bCs w:val="1"/>
          <w:u w:val="single"/>
          <w:rtl w:val="0"/>
        </w:rPr>
        <w:t xml:space="preserve">dispensa emergencial</w:t>
      </w:r>
      <w:r w:rsidDel="00000000" w:rsidR="00000000" w:rsidRPr="00000000">
        <w:rPr>
          <w:rFonts w:ascii="Times New Roman" w:cs="Times New Roman" w:eastAsia="Times New Roman" w:hAnsi="Times New Roman"/>
          <w:b w:val="1"/>
          <w:bCs w:val="1"/>
          <w:color w:val="000000"/>
          <w:u w:val="single"/>
          <w:rtl w:val="0"/>
        </w:rPr>
        <w:t xml:space="preserve"> de licitação</w:t>
      </w:r>
      <w:r w:rsidDel="00000000" w:rsidR="00000000" w:rsidRPr="00000000">
        <w:rPr>
          <w:rFonts w:ascii="Times New Roman" w:cs="Times New Roman" w:eastAsia="Times New Roman" w:hAnsi="Times New Roman"/>
          <w:color w:val="000000"/>
          <w:rtl w:val="0"/>
        </w:rPr>
        <w:t xml:space="preserve"> já que se enquadraria no dispositivo de exceção previsto no art. 7</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inciso VIII, da Lei n° 14.133/2021, vejamos: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between w:space="0" w:sz="0" w:val="nil"/>
        </w:pBdr>
        <w:spacing w:after="0" w:before="0" w:line="276" w:lineRule="auto"/>
        <w:ind w:left="22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Art. 75. É dispensável a licitação:</w:t>
      </w: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between w:space="0" w:sz="0" w:val="nil"/>
        </w:pBdr>
        <w:spacing w:after="0" w:before="0" w:line="276" w:lineRule="auto"/>
        <w:ind w:left="2268"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between w:space="0" w:sz="0" w:val="nil"/>
        </w:pBdr>
        <w:spacing w:after="0" w:before="0" w:line="276" w:lineRule="auto"/>
        <w:ind w:left="226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VIII - nos casos de emergência ou de calamidade pública,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inciso;</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Como visto, a presente contratação, destinada a atender às necessidades administrativas e estruturais do Conselho Regional de Corretores de Imóveis da 21ª Região – CRECI/PB, justifica-se pela necessidade de execução emergencial de serviços de manutenção predial corretiva, compreendendo retelhamento, substituição e impermeabilização de calhas, vedação técnica de janelas, reparos e desobstrução de calhas e drenos. A medida é necessária para conter ou corrigir falhas que podem ocasionar agravamento das infiltrações, deterioração de elementos construtivos, comprometimento de bens móveis, equipamentos e instalações internas, além de prejuízo à salubridade dos ambientes e à regular continuidade das atividades administrativas do Conselho.</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A contratação não se destina à realização de reforma ampla, obra de ampliação ou intervenção meramente estética, mas à execução de serviços corretivos pontuais e tecnicamente necessários para enfrentamento da situação emergencial constatada. A urgência decorre da possibilidade de agravamento progressivo dos danos, uma vez que problemas relacionados à entrada de água, deficiência de escoamento pluvial, falhas em calhas, drenos, cobertura e vedação de esquadrias tendem a se intensificar com o tempo, podendo gerar custos superiores à Administração caso não sejam prontamente enfrentados.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Do ponto de vista técnico, a empresa contratada deverá comprovar aptidão compatível com a execução do objeto, mediante demonstração de atuação em serviços de engenharia, manutenção predial, reformas, impermeabilização, cobertura, calhas, drenagem, vedação de esquadrias e demais atividades correlatas que evidenciem capacidade operacional para atendimento integral da demanda emergencial.</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w:t>
      </w:r>
      <w:r w:rsidDel="00000000" w:rsidR="00000000" w:rsidRPr="00000000">
        <w:rPr>
          <w:rFonts w:ascii="Times New Roman" w:cs="Times New Roman" w:eastAsia="Times New Roman" w:hAnsi="Times New Roman"/>
          <w:rtl w:val="0"/>
        </w:rPr>
        <w:t xml:space="preserve">9. Além disso, a execução dos serviços de manutenção predial corretiva deverá atender, no mínimo, aos seguintes requisitos: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executar os serviços de forma integrada, planejada e coordenada, observando o escopo contratado, o prazo de execução, as especificações técnicas, as boas práticas de engenharia e manutenção predial e as orientações da fiscalização designada pelo CRECI/PB;</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disponibilizar mão de obra qualificada, ferramentas, equipamentos, materiais, insumos, EPIs, EPCs e demais recursos necessários à plena execução dos serviços;</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executar o retelhamento completo com substituição das calhas de alumínio necessárias, especialmente nos pontos indicados como críticos para contenção de infiltrações e adequado escoamento das águas pluviais;</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realizar a impermeabilização das áreas indicadas, inclusive mediante aplicação de manta alumínio de 3mm em calhas, algerozes e demais pontos previstos no escopo contratado;</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promover a vedação técnica das janelas e esquadrias indicadas, mediante aplicação de silicone, selante técnico ou material compatível com a finalidade de impedir ou reduzir a entrada de água;</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executar os serviços de manutenção, reparos e desobstrução de calhas e drenos, de forma a restabelecer o adequado fluxo de águas pluviais e minimizar o risco de novos pontos de acúmulo, retorno ou infiltração;</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indicar responsável técnico habilitado, quando exigível pela natureza dos serviços, com registro no Conselho Profissional competente, responsabilizando-se pela emissão, quando cabível, de Anotação de Responsabilidade Técnica – ART, Registro de Responsabilidade Técnica – RRT ou documento equivalente aplicável antes do início da execução;</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fornecer materiais novos, adequados, resistentes e compatíveis com a finalidade da intervenção, incluindo calhas, manta de impermeabilização, silicone ou selante técnico, elementos de fixação, materiais acessórios e demais insumos necessários à correta execução do objeto;</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adotar medidas de proteção e organização do local de execução, de modo a preservar a segurança de colaboradores, visitantes, profissionais inscritos e demais usuários das dependências do CRECI/PB, especialmente em áreas próximas aos pontos de intervenção;</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proteger as áreas adjacentes, bens móveis, equipamentos, documentos, instalações elétricas, mobiliário e demais elementos existentes no imóvel, evitando danos adicionais durante a execução dos serviços;</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observar as normas de segurança e saúde no trabalho aplicáveis à atividade, fornecendo e exigindo o uso adequado de Equipamentos de Proteção Individual – EPIs e, quando necessário, Equipamentos de Proteção Coletiva – EPCs;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manter o local dos serviços limpo, organizado e sinalizado durante a execução, adotando providências para reduzir interferências indevidas na rotina administrativa do Conselho;</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realizar, ao final da execução, a limpeza das áreas afetadas, com retirada de resíduos, sobras de materiais, entulhos e demais elementos decorrentes da intervenção;</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corrigir, às suas expensas, vícios, defeitos, falhas, inconformidades ou serviços executados em desacordo com o escopo contratado, sem prejuízo das garantias legais e contratuais aplicáveis;</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observar a garantia dos serviços prestados, especialmente quanto à impermeabilização, vedação, funcionamento das calhas e drenos e efetividade mínima das intervenções executadas.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4.10. Assim, tem-se justificada a escolha da contratação direta por dispensa emergencial de licitação, com base no art. 75, inciso VIII, da Lei nº 14.133/2021, uma vez que a situação constatada no imóvel do CRECI/PB revela urgência de atendimento apta a ocasionar prejuízo ao patrimônio público e a comprometer a segurança de bens, instalações e ambientes administrativos caso não seja adotada solução imediata</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4.11. Modelo de Execução dos Serviços</w:t>
      </w:r>
    </w:p>
    <w:p w:rsidR="00000000" w:rsidDel="00000000" w:rsidP="00000000" w:rsidRDefault="00000000" w:rsidRPr="00000000" w14:paraId="000000B1">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2">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4.11.1. Execução</w:t>
      </w:r>
    </w:p>
    <w:p w:rsidR="00000000" w:rsidDel="00000000" w:rsidP="00000000" w:rsidRDefault="00000000" w:rsidRPr="00000000" w14:paraId="000000B3">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4">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4.11.1.1. A contratada deverá executar os serviços de forma integral, abrangendo todas as providências necessárias à adequada realização da manutenção predial corretiva emergencial nas dependências do Conselho Regional de Corretores de Imóveis da 21ª Região – CRECI/PB, incluindo o fornecimento de mão de obra qualificada, materiais, equipamentos, ferramentas, insumos, EPIs, EPCs e demais recursos indispensáveis à completa execução do objeto, observadas as especificações definidas neste Termo de Referência, a proposta apresentada, as necessidades concretas da Administração e as boas práticas aplicáveis à engenharia, à manutenção predial, à impermeabilização, à drenagem e à vedação.</w:t>
      </w:r>
    </w:p>
    <w:p w:rsidR="00000000" w:rsidDel="00000000" w:rsidP="00000000" w:rsidRDefault="00000000" w:rsidRPr="00000000" w14:paraId="000000B5">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4.11.1.2. A execução compreenderá, conforme o escopo contratado, a realização dos serviços iniciais de administração e acompanhamento da obra, instalação provisória e preparação das áreas de intervenção, retelhamento completo com substituição das calhas de alumínio, impermeabilização com manta alumínio de 3mm, aplicação de manta em calhas e algerozes, vedação técnica de janelas mediante aplicação de silicone ou selante compatível, bem como manutenção, reparos e desobstrução de calhas e drenos, com vistas à contenção e correção dos pontos de infiltração, umidade e deficiência de escoamento de águas pluviais identificados no imóvel.</w:t>
      </w:r>
    </w:p>
    <w:p w:rsidR="00000000" w:rsidDel="00000000" w:rsidP="00000000" w:rsidRDefault="00000000" w:rsidRPr="00000000" w14:paraId="000000B7">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4.11.1.3. Os serviços deverão ser executados de forma coordenada e tecnicamente compatibilizada, de modo a evitar intervenções desconexas, retrabalhos, desperdícios, sobreposição indevida de etapas e soluções parciais incapazes de enfrentar adequadamente a situação emergencial. A contratada deverá observar a sequência técnica adequada para cada serviço, priorizando os pontos críticos de entrada de água, acúmulo, retorno ou escoamento inadequado, especialmente aqueles relacionados à cobertura, calhas, algerozes, drenos e esquadrias.</w:t>
      </w:r>
    </w:p>
    <w:p w:rsidR="00000000" w:rsidDel="00000000" w:rsidP="00000000" w:rsidRDefault="00000000" w:rsidRPr="00000000" w14:paraId="000000B9">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4.11.1.4. O prazo estimado de execução será de 20 dias úteis, contados do início das atividades, observadas as condições estabelecidas no instrumento contratual ou documento equivalente, as orientações da fiscalização do CRECI/PB e a necessidade de preservar, tanto quanto possível, a rotina administrativa do Conselho. A execução deverá ocorrer de modo célere, por se tratar de contratação emergencial voltada à mitigação de danos ao patrimônio público, sem prejuízo da qualidade técnica e da segurança dos serviços.</w:t>
      </w:r>
    </w:p>
    <w:p w:rsidR="00000000" w:rsidDel="00000000" w:rsidP="00000000" w:rsidRDefault="00000000" w:rsidRPr="00000000" w14:paraId="000000BB">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4.11.1.5. A contratada deverá disponibilizar equipe técnica qualificada e em quantidade suficiente para a execução do objeto no prazo ajustado, responsabilizando-se pela supervisão dos trabalhos, pela orientação de seus profissionais e pela correta utilização dos materiais e equipamentos empregados. Quando exigível pela natureza dos serviços, deverá indicar responsável técnico habilitado e providenciar a emissão de ART, RRT ou documento equivalente, antes do início da execução.</w:t>
      </w:r>
    </w:p>
    <w:p w:rsidR="00000000" w:rsidDel="00000000" w:rsidP="00000000" w:rsidRDefault="00000000" w:rsidRPr="00000000" w14:paraId="000000BD">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4.11.1.6. Os materiais empregados deverão ser novos, adequados à finalidade da intervenção, compatíveis com o uso institucional do imóvel e observantes dos padrões mínimos de qualidade, resistência, estanqueidade, durabilidade e segurança. A contratada deverá responsabilizar-se especialmente pela qualidade da manta de impermeabilização, calhas, selantes, elementos de fixação e demais insumos utilizados na execução dos serviços.</w:t>
      </w:r>
    </w:p>
    <w:p w:rsidR="00000000" w:rsidDel="00000000" w:rsidP="00000000" w:rsidRDefault="00000000" w:rsidRPr="00000000" w14:paraId="000000BF">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4.11.1.7. A execução deverá observar as normas técnicas aplicáveis e as normas de segurança e saúde no trabalho, cabendo à contratada fornecer e exigir o uso adequado de Equipamentos de Proteção Individual – EPIs e, quando necessário, Equipamentos de Proteção Coletiva – EPCs. Também deverá adotar medidas de proteção das áreas adjacentes, dos bens móveis, equipamentos, documentos, instalações elétricas, mobiliário e demais elementos existentes no imóvel, de modo a evitar danos adicionais durante a intervenção.</w:t>
      </w:r>
    </w:p>
    <w:p w:rsidR="00000000" w:rsidDel="00000000" w:rsidP="00000000" w:rsidRDefault="00000000" w:rsidRPr="00000000" w14:paraId="000000C1">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4.11.1.8. Durante toda a execução, a contratada deverá manter o local dos serviços organizado, sinalizado e em condições mínimas de segurança, adotando providências para reduzir riscos de acidentes, acúmulo de resíduos, obstrução de circulação, exposição indevida de usuários e interferências desnecessárias nas atividades administrativas do CRECI/PB. Eventuais atividades que possam causar maior interferência na rotina do Conselho deverão ser previamente alinhadas com a fiscalização.</w:t>
      </w:r>
    </w:p>
    <w:p w:rsidR="00000000" w:rsidDel="00000000" w:rsidP="00000000" w:rsidRDefault="00000000" w:rsidRPr="00000000" w14:paraId="000000C3">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4.11.1.9. A contratada deverá executar os serviços de manutenção, reparos e desobstrução de calhas e drenos de modo a restabelecer o adequado fluxo de águas pluviais, eliminando, sempre que tecnicamente possível dentro do escopo contratado, obstruções, pontos de acúmulo, retorno de água ou falhas que possam contribuir para novas infiltrações. A aplicação de manta, a substituição de calhas e a vedação de janelas deverão ser realizadas de forma compatível entre si, garantindo a funcionalidade integrada da solução.</w:t>
      </w:r>
    </w:p>
    <w:p w:rsidR="00000000" w:rsidDel="00000000" w:rsidP="00000000" w:rsidRDefault="00000000" w:rsidRPr="00000000" w14:paraId="000000C5">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4.11.1.10. Em caso de impossibilidade de cumprimento do prazo ajustado, atraso, necessidade de adequação técnica superveniente ou ocorrência de intercorrências relevantes durante a execução, a contratada deverá comunicar imediatamente à Contratante, apresentando justificativa formal e, quando cabível, nova programação para continuidade dos serviços, sem prejuízo da apuração de responsabilidade e da aplicação das penalidades cabíveis em caso de descumprimento contratual.</w:t>
      </w:r>
    </w:p>
    <w:p w:rsidR="00000000" w:rsidDel="00000000" w:rsidP="00000000" w:rsidRDefault="00000000" w:rsidRPr="00000000" w14:paraId="000000C7">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4.11.1.11. A execução dos serviços será acompanhada e fiscalizada por servidor ou representante formalmente designado pelo CRECI/PB, a quem competirá verificar a conformidade das atividades executadas, registrar ocorrências, exigir correções eventualmente necessárias, atestar a regular prestação dos serviços e zelar pelo fiel cumprimento das obrigações contratuais, inclusive quanto aos prazos, à qualidade técnica, à segurança da execução, à adequação dos materiais empregados e à observância das especificações estabelecidas neste Termo de Referência.</w:t>
      </w:r>
    </w:p>
    <w:p w:rsidR="00000000" w:rsidDel="00000000" w:rsidP="00000000" w:rsidRDefault="00000000" w:rsidRPr="00000000" w14:paraId="000000C9">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4.11.1.12. Ao final da execução, a contratada deverá realizar a limpeza completa das áreas afetadas, retirar equipamentos, ferramentas, resíduos e materiais excedentes, entregando os ambientes livres, organizados e em condições adequadas de uso institucional. O recebimento do objeto ficará condicionado à verificação da conformidade dos serviços pela fiscalização do CRECI/PB, que poderá exigir a correção de falhas, vícios, defeitos, acabamentos inadequados, pontos de vedação insuficiente, problemas de escoamento ou quaisquer inconformidades identificadas.</w:t>
      </w:r>
    </w:p>
    <w:p w:rsidR="00000000" w:rsidDel="00000000" w:rsidP="00000000" w:rsidRDefault="00000000" w:rsidRPr="00000000" w14:paraId="000000CB">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4.11.1.13. A contratada deverá corrigir, às suas expensas, os vícios, defeitos, falhas ou inconformidades constatados durante a execução, no recebimento ou no período de garantia aplicável, especialmente aqueles relacionados à impermeabilização, vedação, substituição de calhas, funcionamento de drenos e efetividade dos reparos realizados. A garantia dos serviços deverá observar as normas vigentes aplicáveis à engenharia civil e à impermeabilização, sem prejuízo das garantias legais e contratuais cabíveis.</w:t>
      </w:r>
    </w:p>
    <w:p w:rsidR="00000000" w:rsidDel="00000000" w:rsidP="00000000" w:rsidRDefault="00000000" w:rsidRPr="00000000" w14:paraId="000000CD">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4.11.1.14. Por fim, a empresa contratada deverá cumprir integralmente as obrigações pactuadas, em conformidade com a Lei nº 14.133/2021 e demais normas aplicáveis, mantendo canal de comunicação permanente com o setor requisitante e com a fiscalização do CRECI/PB para solucionar prontamente eventuais intercorrências relacionadas à execução dos serviços, adotando todas as cautelas necessárias para evitar danos às instalações, aos bens patrimoniais e à integridade dos usuários, colaboradores e visitantes do Conselho durante a execução contratual.</w:t>
      </w:r>
    </w:p>
    <w:p w:rsidR="00000000" w:rsidDel="00000000" w:rsidP="00000000" w:rsidRDefault="00000000" w:rsidRPr="00000000" w14:paraId="000000CF">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4.11.2. Responsabilidades Contratuais</w:t>
      </w:r>
    </w:p>
    <w:p w:rsidR="00000000" w:rsidDel="00000000" w:rsidP="00000000" w:rsidRDefault="00000000" w:rsidRPr="00000000" w14:paraId="000000D1">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2">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4.11.2.1. A contratada deverá garantir o cumprimento integral das obrigações pactuadas, nos termos da Lei nº 14.133/2021 e demais normas aplicáveis, mediante atesto da fiscalização, observada a regularidade fiscal e trabalhista da empresa. Quaisquer inconsistências ou descumprimentos serão formalmente registrados e ensejarão as sanções previstas no contrato e na legislação aplicável.</w:t>
      </w:r>
    </w:p>
    <w:p w:rsidR="00000000" w:rsidDel="00000000" w:rsidP="00000000" w:rsidRDefault="00000000" w:rsidRPr="00000000" w14:paraId="000000D3">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hd w:fill="ffffff" w:val="clear"/>
        <w:tabs>
          <w:tab w:val="left" w:leader="none" w:pos="426"/>
        </w:tabs>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4.13. Sustentabilidade</w:t>
      </w:r>
    </w:p>
    <w:p w:rsidR="00000000" w:rsidDel="00000000" w:rsidP="00000000" w:rsidRDefault="00000000" w:rsidRPr="00000000" w14:paraId="000000D5">
      <w:pPr>
        <w:shd w:fill="ffffff" w:val="clear"/>
        <w:tabs>
          <w:tab w:val="left" w:leader="none" w:pos="426"/>
        </w:tabs>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6">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4.13.1. A execução dos serviços deverá observar medidas de sustentabilidade compatíveis com a natureza emergencial e corretiva da contratação, buscando reduzir impactos ambientais, evitar desperdícios, racionalizar o uso de materiais e insumos e assegurar a adequada destinação dos resíduos gerados durante os serviços de manutenção predial.</w:t>
      </w:r>
    </w:p>
    <w:p w:rsidR="00000000" w:rsidDel="00000000" w:rsidP="00000000" w:rsidRDefault="00000000" w:rsidRPr="00000000" w14:paraId="000000D7">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4.13.2. Considerando que a presente contratação envolve retelhamento, substituição e impermeabilização de calhas, vedação técnica de janelas, reparos e desobstrução de calhas e drenos, a Contratada deverá adotar boas práticas de execução, com o objetivo de minimizar a geração de resíduos, evitar retrabalhos, reduzir perdas de materiais e preservar as áreas adjacentes às intervenções.</w:t>
      </w:r>
    </w:p>
    <w:p w:rsidR="00000000" w:rsidDel="00000000" w:rsidP="00000000" w:rsidRDefault="00000000" w:rsidRPr="00000000" w14:paraId="000000D9">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4.13.3. A Contratada deverá planejar a utilização dos materiais de modo compatível com o escopo contratado, evitando aquisições, cortes, descartes ou aplicações em quantidade superior à necessária, sem prejuízo da qualidade técnica e da durabilidade mínima esperada dos serviços executados.</w:t>
      </w:r>
    </w:p>
    <w:p w:rsidR="00000000" w:rsidDel="00000000" w:rsidP="00000000" w:rsidRDefault="00000000" w:rsidRPr="00000000" w14:paraId="000000DB">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4.13.4. Os materiais empregados deverão ser adequados à finalidade da intervenção, observando, quando aplicável, as normas técnicas da Associação Brasileira de Normas Técnicas – ABNT, especialmente quanto à segurança, resistência, durabilidade, estanqueidade, impermeabilização, vedação, instalação e manutenção predial.</w:t>
      </w:r>
    </w:p>
    <w:p w:rsidR="00000000" w:rsidDel="00000000" w:rsidP="00000000" w:rsidRDefault="00000000" w:rsidRPr="00000000" w14:paraId="000000DD">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4.13.5. Sempre que tecnicamente possível e sem prejuízo da qualidade da solução, a Contratada deverá priorizar materiais de maior durabilidade, vida útil compatível com a finalidade do serviço e menor necessidade de substituição em curto prazo, contribuindo para a redução de novas intervenções, do consumo de recursos e da geração de resíduos.</w:t>
      </w:r>
    </w:p>
    <w:p w:rsidR="00000000" w:rsidDel="00000000" w:rsidP="00000000" w:rsidRDefault="00000000" w:rsidRPr="00000000" w14:paraId="000000DF">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4.13.6. A Contratada deverá racionalizar o uso de substâncias potencialmente tóxicas ou poluentes, incluindo selantes, silicones, impermeabilizantes, solventes, adesivos e demais produtos químicos eventualmente utilizados, observando as instruções dos fabricantes, as normas de segurança aplicáveis e as boas práticas de armazenamento, manuseio e aplicação.</w:t>
      </w:r>
    </w:p>
    <w:p w:rsidR="00000000" w:rsidDel="00000000" w:rsidP="00000000" w:rsidRDefault="00000000" w:rsidRPr="00000000" w14:paraId="000000E1">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4.13.7. Quando houver alternativa tecnicamente adequada e economicamente viável, deverão ser preferidos produtos de menor toxicidade, menor emissão de compostos voláteis, maior segurança de aplicação e menor impacto ambiental, desde que compatíveis com a finalidade emergencial da contratação e com a qualidade esperada da intervenção.</w:t>
      </w:r>
    </w:p>
    <w:p w:rsidR="00000000" w:rsidDel="00000000" w:rsidP="00000000" w:rsidRDefault="00000000" w:rsidRPr="00000000" w14:paraId="000000E3">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4.13.8. A execução dos serviços deverá observar o uso racional de água e energia elétrica, evitando consumo desnecessário durante a preparação das áreas, limpeza, aplicação de materiais, utilização de equipamentos e demais atividades correlatas.</w:t>
      </w:r>
    </w:p>
    <w:p w:rsidR="00000000" w:rsidDel="00000000" w:rsidP="00000000" w:rsidRDefault="00000000" w:rsidRPr="00000000" w14:paraId="000000E5">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4.13.9. A Contratada deverá adotar medidas para prevenir danos adicionais ao imóvel, aos bens móveis, equipamentos, instalações elétricas, documentos, mobiliário e demais elementos existentes nas áreas afetadas, pois a preservação do patrimônio público também constitui medida de sustentabilidade, ao evitar substituições, reparos adicionais e dispêndios futuros.</w:t>
      </w:r>
    </w:p>
    <w:p w:rsidR="00000000" w:rsidDel="00000000" w:rsidP="00000000" w:rsidRDefault="00000000" w:rsidRPr="00000000" w14:paraId="000000E7">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4.13.10. Os resíduos gerados em razão da execução dos serviços, incluindo sobras de calhas, embalagens de manta, recipientes de selantes, restos de materiais de impermeabilização, fragmentos, entulhos, materiais removidos, resíduos de limpeza e demais descartes correlatos, deverão ser acondicionados, removidos e destinados de forma ambientalmente adequada, observadas as normas locais e a legislação aplicável.</w:t>
      </w:r>
    </w:p>
    <w:p w:rsidR="00000000" w:rsidDel="00000000" w:rsidP="00000000" w:rsidRDefault="00000000" w:rsidRPr="00000000" w14:paraId="000000E9">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4.13.11. A Contratada deverá manter o local de execução limpo e organizado durante a realização dos serviços, evitando acúmulo de resíduos, obstrução de circulação, dispersão de materiais e riscos aos usuários do imóvel, colaboradores, visitantes e profissionais inscritos.</w:t>
      </w:r>
    </w:p>
    <w:p w:rsidR="00000000" w:rsidDel="00000000" w:rsidP="00000000" w:rsidRDefault="00000000" w:rsidRPr="00000000" w14:paraId="000000EB">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4.13.12. Sempre que viável, os resíduos recicláveis deverão ser segregados e destinados à reciclagem ou a outra forma ambientalmente adequada de reaproveitamento, observadas as condições locais e a natureza dos materiais descartados.</w:t>
      </w:r>
    </w:p>
    <w:p w:rsidR="00000000" w:rsidDel="00000000" w:rsidP="00000000" w:rsidRDefault="00000000" w:rsidRPr="00000000" w14:paraId="000000ED">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4.13.13. A Contratada deverá orientar sua equipe quanto ao uso adequado dos materiais, à redução de desperdícios, ao descarte correto de embalagens e resíduos, à prevenção de contaminação do ambiente e à necessidade de preservar as áreas adjacentes às intervenções.</w:t>
      </w:r>
    </w:p>
    <w:p w:rsidR="00000000" w:rsidDel="00000000" w:rsidP="00000000" w:rsidRDefault="00000000" w:rsidRPr="00000000" w14:paraId="000000EF">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4.13.14. A adoção das medidas de sustentabilidade previstas neste item não poderá comprometer a finalidade emergencial da contratação, a segurança da execução, a efetividade da impermeabilização, a adequada vedação das esquadrias, o funcionamento das calhas e drenos e a durabilidade mínima esperada dos serviços executados.</w:t>
      </w:r>
    </w:p>
    <w:p w:rsidR="00000000" w:rsidDel="00000000" w:rsidP="00000000" w:rsidRDefault="00000000" w:rsidRPr="00000000" w14:paraId="000000F1">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4.13.15. O cumprimento das práticas de sustentabilidade será acompanhado pela fiscalização do CRECI/PB, que poderá exigir a correção de condutas inadequadas, a organização do local, a remoção de resíduos, a proteção das áreas afetadas e a adoção de providências compatíveis com a preservação ambiental e patrimonial.</w:t>
      </w:r>
    </w:p>
    <w:p w:rsidR="00000000" w:rsidDel="00000000" w:rsidP="00000000" w:rsidRDefault="00000000" w:rsidRPr="00000000" w14:paraId="000000F3">
      <w:pPr>
        <w:shd w:fill="ffffff" w:val="clear"/>
        <w:tabs>
          <w:tab w:val="left" w:leader="none" w:pos="426"/>
        </w:tabs>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4.13. Subcontratação</w:t>
      </w:r>
    </w:p>
    <w:p w:rsidR="00000000" w:rsidDel="00000000" w:rsidP="00000000" w:rsidRDefault="00000000" w:rsidRPr="00000000" w14:paraId="000000F5">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6">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4.13.1. Não é permitida a subcontratação do objeto contratual.</w:t>
      </w:r>
    </w:p>
    <w:p w:rsidR="00000000" w:rsidDel="00000000" w:rsidP="00000000" w:rsidRDefault="00000000" w:rsidRPr="00000000" w14:paraId="000000F7">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4.14. Garantia Contratual</w:t>
      </w:r>
    </w:p>
    <w:p w:rsidR="00000000" w:rsidDel="00000000" w:rsidP="00000000" w:rsidRDefault="00000000" w:rsidRPr="00000000" w14:paraId="000000F9">
      <w:pPr>
        <w:shd w:fill="ffffff" w:val="clear"/>
        <w:tabs>
          <w:tab w:val="left" w:leader="none" w:pos="426"/>
        </w:tabs>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A">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4.14.1. Não haverá exigência de garantia contratual da execução.</w:t>
      </w:r>
    </w:p>
    <w:p w:rsidR="00000000" w:rsidDel="00000000" w:rsidP="00000000" w:rsidRDefault="00000000" w:rsidRPr="00000000" w14:paraId="000000FB">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7"/>
        <w:tblW w:w="948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0"/>
        <w:tblGridChange w:id="0">
          <w:tblGrid>
            <w:gridCol w:w="9480"/>
          </w:tblGrid>
        </w:tblGridChange>
      </w:tblGrid>
      <w:tr>
        <w:trPr>
          <w:cantSplit w:val="0"/>
          <w:trHeight w:val="300" w:hRule="atLeast"/>
          <w:tblHeader w:val="0"/>
        </w:trPr>
        <w:tc>
          <w:tcPr>
            <w:shd w:fill="5b9bd5" w:val="clear"/>
          </w:tcPr>
          <w:p w:rsidR="00000000" w:rsidDel="00000000" w:rsidP="00000000" w:rsidRDefault="00000000" w:rsidRPr="00000000" w14:paraId="000000FC">
            <w:pPr>
              <w:spacing w:after="0" w:before="0" w:line="276" w:lineRule="auto"/>
              <w:jc w:val="both"/>
              <w:rPr>
                <w:rFonts w:ascii="Times New Roman" w:cs="Times New Roman" w:eastAsia="Times New Roman" w:hAnsi="Times New Roman"/>
                <w:sz w:val="22"/>
                <w:szCs w:val="22"/>
              </w:rPr>
            </w:pPr>
            <w:bookmarkStart w:colFirst="0" w:colLast="0" w:name="_heading=h.2jxsxqh" w:id="6"/>
            <w:bookmarkEnd w:id="6"/>
            <w:r w:rsidDel="00000000" w:rsidR="00000000" w:rsidRPr="00000000">
              <w:rPr>
                <w:rFonts w:ascii="Times New Roman" w:cs="Times New Roman" w:eastAsia="Times New Roman" w:hAnsi="Times New Roman"/>
                <w:b w:val="1"/>
                <w:bCs w:val="1"/>
                <w:sz w:val="22"/>
                <w:szCs w:val="22"/>
                <w:rtl w:val="0"/>
              </w:rPr>
              <w:t xml:space="preserve">5. DO MODELO DE EXECUÇÃO CONTRATUAL </w:t>
            </w:r>
            <w:r w:rsidDel="00000000" w:rsidR="00000000" w:rsidRPr="00000000">
              <w:rPr>
                <w:rtl w:val="0"/>
              </w:rPr>
            </w:r>
          </w:p>
        </w:tc>
      </w:tr>
    </w:tbl>
    <w:p w:rsidR="00000000" w:rsidDel="00000000" w:rsidP="00000000" w:rsidRDefault="00000000" w:rsidRPr="00000000" w14:paraId="000000FD">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Os serviços serão executados mediante as disposições, obrigações e contraprestações previstas no contrato firmado e assinado entre as partes.</w:t>
      </w:r>
    </w:p>
    <w:p w:rsidR="00000000" w:rsidDel="00000000" w:rsidP="00000000" w:rsidRDefault="00000000" w:rsidRPr="00000000" w14:paraId="000000FF">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O período de vigência da contratação é de 90 (noventa) dias, a contar da assinatura do contrato.</w:t>
      </w:r>
    </w:p>
    <w:p w:rsidR="00000000" w:rsidDel="00000000" w:rsidP="00000000" w:rsidRDefault="00000000" w:rsidRPr="00000000" w14:paraId="00000101">
      <w:pPr>
        <w:shd w:fill="ffffff" w:val="clear"/>
        <w:tabs>
          <w:tab w:val="left" w:leader="none" w:pos="426"/>
        </w:tabs>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8"/>
        <w:tblW w:w="9465.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65"/>
        <w:tblGridChange w:id="0">
          <w:tblGrid>
            <w:gridCol w:w="9465"/>
          </w:tblGrid>
        </w:tblGridChange>
      </w:tblGrid>
      <w:tr>
        <w:trPr>
          <w:cantSplit w:val="0"/>
          <w:trHeight w:val="421" w:hRule="atLeast"/>
          <w:tblHeader w:val="0"/>
        </w:trPr>
        <w:tc>
          <w:tcPr>
            <w:shd w:fill="5b9bd5" w:val="clear"/>
          </w:tcPr>
          <w:p w:rsidR="00000000" w:rsidDel="00000000" w:rsidP="00000000" w:rsidRDefault="00000000" w:rsidRPr="00000000" w14:paraId="00000102">
            <w:pPr>
              <w:spacing w:after="0" w:before="0" w:line="276" w:lineRule="auto"/>
              <w:jc w:val="both"/>
              <w:rPr>
                <w:rFonts w:ascii="Times New Roman" w:cs="Times New Roman" w:eastAsia="Times New Roman" w:hAnsi="Times New Roman"/>
                <w:sz w:val="22"/>
                <w:szCs w:val="22"/>
              </w:rPr>
            </w:pPr>
            <w:bookmarkStart w:colFirst="0" w:colLast="0" w:name="_heading=h.z337ya" w:id="7"/>
            <w:bookmarkEnd w:id="7"/>
            <w:r w:rsidDel="00000000" w:rsidR="00000000" w:rsidRPr="00000000">
              <w:rPr>
                <w:rFonts w:ascii="Times New Roman" w:cs="Times New Roman" w:eastAsia="Times New Roman" w:hAnsi="Times New Roman"/>
                <w:b w:val="1"/>
                <w:bCs w:val="1"/>
                <w:sz w:val="22"/>
                <w:szCs w:val="22"/>
                <w:rtl w:val="0"/>
              </w:rPr>
              <w:t xml:space="preserve">6. DO MODELO DE GESTÃO DO CONTRATO </w:t>
            </w:r>
            <w:r w:rsidDel="00000000" w:rsidR="00000000" w:rsidRPr="00000000">
              <w:rPr>
                <w:rtl w:val="0"/>
              </w:rPr>
            </w:r>
          </w:p>
        </w:tc>
      </w:tr>
    </w:tbl>
    <w:p w:rsidR="00000000" w:rsidDel="00000000" w:rsidP="00000000" w:rsidRDefault="00000000" w:rsidRPr="00000000" w14:paraId="00000103">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O contrato deverá ser executado fielmente pelas partes, de acordo com as cláusulas avençadas e as normas da Lei nº 14.133/2021, e cada parte responderá pelas consequências de sua inexecução total ou parcial. </w:t>
      </w:r>
    </w:p>
    <w:p w:rsidR="00000000" w:rsidDel="00000000" w:rsidP="00000000" w:rsidRDefault="00000000" w:rsidRPr="00000000" w14:paraId="00000105">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Em caso de impedimento, ordem de paralisação ou suspensão do contrato, o cronograma de execução será prorrogado automaticamente pelo tempo correspondente, anotadas tais circunstâncias mediante simples apostila. </w:t>
      </w:r>
    </w:p>
    <w:p w:rsidR="00000000" w:rsidDel="00000000" w:rsidP="00000000" w:rsidRDefault="00000000" w:rsidRPr="00000000" w14:paraId="00000107">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As comunicações entre o CRECI/PB e a contratada devem ser realizadas por escrito sempre que o ato exigir tal formalidade, admitindo-se o uso de mensagem eletrônica para esse fim. </w:t>
      </w:r>
    </w:p>
    <w:p w:rsidR="00000000" w:rsidDel="00000000" w:rsidP="00000000" w:rsidRDefault="00000000" w:rsidRPr="00000000" w14:paraId="00000109">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A execução do contrato deverá ser acompanhada e fiscalizada pelo(s) fiscal(is) do contrato, ou pelos respectivos substitutos, nos termos da Lei nº 14.133/2021, art. 117, caput. </w:t>
      </w:r>
    </w:p>
    <w:p w:rsidR="00000000" w:rsidDel="00000000" w:rsidP="00000000" w:rsidRDefault="00000000" w:rsidRPr="00000000" w14:paraId="0000010B">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No caso de ocorrências que possam inviabilizar a execução do contrato nas datas aprazadas, o fiscal do contrato comunicará o fato imediatamente ao gestor do contrato (Decreto nº 11.246, de 2022, art. 22, V). </w:t>
      </w:r>
    </w:p>
    <w:p w:rsidR="00000000" w:rsidDel="00000000" w:rsidP="00000000" w:rsidRDefault="00000000" w:rsidRPr="00000000" w14:paraId="0000010D">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 O gestor do contrato acompanhará os registros realizados pelos fiscais do contrato, de todas as ocorrências relacionadas à execução do contrato e às medidas adotadas, informando, se for o caso, à autoridade superior àquelas que ultrapassarem a sua competência (Decreto nº 11.246, de 2022, art. 21, II).</w:t>
      </w:r>
    </w:p>
    <w:p w:rsidR="00000000" w:rsidDel="00000000" w:rsidP="00000000" w:rsidRDefault="00000000" w:rsidRPr="00000000" w14:paraId="0000010F">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 O gestor do contrato tomará providências para a formalização de processo administrativo de responsabilização para fins de aplicação de sanções, a ser conduzido pela comissão de que trata o art. 158, da Lei nº 14.133, de 1º de abril 2021, ou pelo agente ou pelo setor com competência para tal, conforme o caso (Decreto nº 11.246, de 2022, art. 21, X).</w:t>
      </w:r>
    </w:p>
    <w:p w:rsidR="00000000" w:rsidDel="00000000" w:rsidP="00000000" w:rsidRDefault="00000000" w:rsidRPr="00000000" w14:paraId="00000111">
      <w:pPr>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9"/>
        <w:tblW w:w="949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5"/>
        <w:tblGridChange w:id="0">
          <w:tblGrid>
            <w:gridCol w:w="9495"/>
          </w:tblGrid>
        </w:tblGridChange>
      </w:tblGrid>
      <w:tr>
        <w:trPr>
          <w:cantSplit w:val="0"/>
          <w:trHeight w:val="298" w:hRule="atLeast"/>
          <w:tblHeader w:val="0"/>
        </w:trPr>
        <w:tc>
          <w:tcPr>
            <w:shd w:fill="5b9bd5" w:val="clear"/>
          </w:tcPr>
          <w:p w:rsidR="00000000" w:rsidDel="00000000" w:rsidP="00000000" w:rsidRDefault="00000000" w:rsidRPr="00000000" w14:paraId="00000112">
            <w:pPr>
              <w:spacing w:after="0" w:before="0" w:line="276" w:lineRule="auto"/>
              <w:jc w:val="both"/>
              <w:rPr>
                <w:rFonts w:ascii="Times New Roman" w:cs="Times New Roman" w:eastAsia="Times New Roman" w:hAnsi="Times New Roman"/>
                <w:sz w:val="22"/>
                <w:szCs w:val="22"/>
              </w:rPr>
            </w:pPr>
            <w:bookmarkStart w:colFirst="0" w:colLast="0" w:name="_heading=h.3j2qqm3" w:id="8"/>
            <w:bookmarkEnd w:id="8"/>
            <w:r w:rsidDel="00000000" w:rsidR="00000000" w:rsidRPr="00000000">
              <w:rPr>
                <w:rFonts w:ascii="Times New Roman" w:cs="Times New Roman" w:eastAsia="Times New Roman" w:hAnsi="Times New Roman"/>
                <w:b w:val="1"/>
                <w:bCs w:val="1"/>
                <w:sz w:val="22"/>
                <w:szCs w:val="22"/>
                <w:rtl w:val="0"/>
              </w:rPr>
              <w:t xml:space="preserve">7. DA FORMA E CRITÉRIOS DE PAGAMENTO </w:t>
            </w:r>
            <w:r w:rsidDel="00000000" w:rsidR="00000000" w:rsidRPr="00000000">
              <w:rPr>
                <w:rtl w:val="0"/>
              </w:rPr>
            </w:r>
          </w:p>
        </w:tc>
      </w:tr>
    </w:tbl>
    <w:p w:rsidR="00000000" w:rsidDel="00000000" w:rsidP="00000000" w:rsidRDefault="00000000" w:rsidRPr="00000000" w14:paraId="00000113">
      <w:pPr>
        <w:spacing w:after="0" w:before="0" w:line="276" w:lineRule="auto"/>
        <w:jc w:val="both"/>
        <w:rPr>
          <w:rFonts w:ascii="Times New Roman" w:cs="Times New Roman" w:eastAsia="Times New Roman" w:hAnsi="Times New Roman"/>
          <w:color w:val="ff0000"/>
          <w:u w:val="single"/>
        </w:rPr>
      </w:pPr>
      <w:r w:rsidDel="00000000" w:rsidR="00000000" w:rsidRPr="00000000">
        <w:rPr>
          <w:rtl w:val="0"/>
        </w:rPr>
      </w:r>
    </w:p>
    <w:p w:rsidR="00000000" w:rsidDel="00000000" w:rsidP="00000000" w:rsidRDefault="00000000" w:rsidRPr="00000000" w14:paraId="0000011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Para liberação de atesto e pagamento, a contratada deverá constar na nota fiscal/fatura, as seguintes informações: </w:t>
      </w:r>
    </w:p>
    <w:p w:rsidR="00000000" w:rsidDel="00000000" w:rsidP="00000000" w:rsidRDefault="00000000" w:rsidRPr="00000000" w14:paraId="00000115">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7.1.1. Resumo do objeto do contrato; </w:t>
      </w:r>
    </w:p>
    <w:p w:rsidR="00000000" w:rsidDel="00000000" w:rsidP="00000000" w:rsidRDefault="00000000" w:rsidRPr="00000000" w14:paraId="00000117">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7.1.2. Local da execução do objeto contratado. Exemplo: João Pessoa - PB; </w:t>
      </w:r>
    </w:p>
    <w:p w:rsidR="00000000" w:rsidDel="00000000" w:rsidP="00000000" w:rsidRDefault="00000000" w:rsidRPr="00000000" w14:paraId="00000118">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7.1.3. Referência: mês/ano; </w:t>
      </w:r>
    </w:p>
    <w:p w:rsidR="00000000" w:rsidDel="00000000" w:rsidP="00000000" w:rsidRDefault="00000000" w:rsidRPr="00000000" w14:paraId="00000119">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Indicação do número da dispensa de licitação; </w:t>
      </w:r>
    </w:p>
    <w:p w:rsidR="00000000" w:rsidDel="00000000" w:rsidP="00000000" w:rsidRDefault="00000000" w:rsidRPr="00000000" w14:paraId="0000011A">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7.1.5. Número do contrato. </w:t>
      </w:r>
    </w:p>
    <w:p w:rsidR="00000000" w:rsidDel="00000000" w:rsidP="00000000" w:rsidRDefault="00000000" w:rsidRPr="00000000" w14:paraId="0000011B">
      <w:pPr>
        <w:spacing w:after="0" w:before="0" w:line="276"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O pagamento do valor contratado será efetuado, conforme as requisições dos itens previstos no objeto, mediante a apresentação dos documentos de regularidade fiscal previstos neste Termo de Referência.</w:t>
      </w:r>
    </w:p>
    <w:p w:rsidR="00000000" w:rsidDel="00000000" w:rsidP="00000000" w:rsidRDefault="00000000" w:rsidRPr="00000000" w14:paraId="0000011D">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O CRECI/PB reserva-se o direito de não efetuar o pagamento se, no ato do atesto da nota fiscal, verificar que o objeto prestado não corresponde às especificações dos itens, conforme este Termo de Referência e da proposta apresentada. </w:t>
      </w:r>
    </w:p>
    <w:p w:rsidR="00000000" w:rsidDel="00000000" w:rsidP="00000000" w:rsidRDefault="00000000" w:rsidRPr="00000000" w14:paraId="0000011F">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Nenhum prazo de recebimento ocorrerá enquanto pendente a solução, pelo contratado, de inconsistências verificadas na execução do objeto ou no instrumento de cobrança.</w:t>
      </w:r>
    </w:p>
    <w:p w:rsidR="00000000" w:rsidDel="00000000" w:rsidP="00000000" w:rsidRDefault="00000000" w:rsidRPr="00000000" w14:paraId="00000121">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7.5. Liquidação</w:t>
      </w:r>
    </w:p>
    <w:p w:rsidR="00000000" w:rsidDel="00000000" w:rsidP="00000000" w:rsidRDefault="00000000" w:rsidRPr="00000000" w14:paraId="00000123">
      <w:pP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7.5.1. Recebida a nota fiscal ou documento de cobrança equivalente, correrá o prazo de 5 (cinco) dias úteis para fins de liquidação, na forma desta seção, prorrogáveis por igual período, nos termos do art. 7º, §2º, da Instrução Normativa SEGES/ME nº 77/2022. </w:t>
      </w:r>
    </w:p>
    <w:p w:rsidR="00000000" w:rsidDel="00000000" w:rsidP="00000000" w:rsidRDefault="00000000" w:rsidRPr="00000000" w14:paraId="00000125">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 Para fins de liquidação, o setor competente deve verificar se a nota fiscal ou fatura apresentada expressa os elementos necessários e essenciais do documento, tais como: </w:t>
      </w:r>
    </w:p>
    <w:p w:rsidR="00000000" w:rsidDel="00000000" w:rsidP="00000000" w:rsidRDefault="00000000" w:rsidRPr="00000000" w14:paraId="00000127">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spacing w:after="0" w:before="0" w:line="276" w:lineRule="auto"/>
        <w:ind w:left="113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7.5.2.1. O prazo de validade; </w:t>
      </w:r>
    </w:p>
    <w:p w:rsidR="00000000" w:rsidDel="00000000" w:rsidP="00000000" w:rsidRDefault="00000000" w:rsidRPr="00000000" w14:paraId="00000129">
      <w:pPr>
        <w:spacing w:after="0" w:before="0" w:line="276" w:lineRule="auto"/>
        <w:ind w:left="113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7.5.2.2. A data da emissão; </w:t>
      </w:r>
    </w:p>
    <w:p w:rsidR="00000000" w:rsidDel="00000000" w:rsidP="00000000" w:rsidRDefault="00000000" w:rsidRPr="00000000" w14:paraId="0000012A">
      <w:pPr>
        <w:spacing w:after="0" w:before="0" w:line="276" w:lineRule="auto"/>
        <w:ind w:left="113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7.5.2.3. Os dados do contrato e do órgão contratante; </w:t>
      </w:r>
    </w:p>
    <w:p w:rsidR="00000000" w:rsidDel="00000000" w:rsidP="00000000" w:rsidRDefault="00000000" w:rsidRPr="00000000" w14:paraId="0000012B">
      <w:pPr>
        <w:spacing w:after="0" w:before="0" w:line="276" w:lineRule="auto"/>
        <w:ind w:left="113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7.5.2.4. O período respectivo de execução do contrato; </w:t>
      </w:r>
    </w:p>
    <w:p w:rsidR="00000000" w:rsidDel="00000000" w:rsidP="00000000" w:rsidRDefault="00000000" w:rsidRPr="00000000" w14:paraId="0000012C">
      <w:pPr>
        <w:spacing w:after="0" w:before="0" w:line="276" w:lineRule="auto"/>
        <w:ind w:left="113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7.5.2.5. O valor a pagar; e </w:t>
      </w:r>
    </w:p>
    <w:p w:rsidR="00000000" w:rsidDel="00000000" w:rsidP="00000000" w:rsidRDefault="00000000" w:rsidRPr="00000000" w14:paraId="0000012D">
      <w:pPr>
        <w:spacing w:after="0" w:before="0" w:line="276" w:lineRule="auto"/>
        <w:ind w:left="113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7.5.2.6. O eventual destaque do valor de retenções tributárias cabíveis. </w:t>
      </w:r>
    </w:p>
    <w:p w:rsidR="00000000" w:rsidDel="00000000" w:rsidP="00000000" w:rsidRDefault="00000000" w:rsidRPr="00000000" w14:paraId="0000012E">
      <w:pPr>
        <w:spacing w:after="0" w:before="0" w:line="276"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7.5.3.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rsidR="00000000" w:rsidDel="00000000" w:rsidP="00000000" w:rsidRDefault="00000000" w:rsidRPr="00000000" w14:paraId="00000130">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7.5.4.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 </w:t>
      </w:r>
    </w:p>
    <w:p w:rsidR="00000000" w:rsidDel="00000000" w:rsidP="00000000" w:rsidRDefault="00000000" w:rsidRPr="00000000" w14:paraId="00000132">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7.5.5. A Administração deverá realizar consulta ao SICAF para: </w:t>
      </w:r>
    </w:p>
    <w:p w:rsidR="00000000" w:rsidDel="00000000" w:rsidP="00000000" w:rsidRDefault="00000000" w:rsidRPr="00000000" w14:paraId="00000134">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spacing w:after="0" w:before="0" w:line="276"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verificar a manutenção das condições de habilitação exigidas; </w:t>
      </w:r>
    </w:p>
    <w:p w:rsidR="00000000" w:rsidDel="00000000" w:rsidP="00000000" w:rsidRDefault="00000000" w:rsidRPr="00000000" w14:paraId="00000136">
      <w:pPr>
        <w:spacing w:after="0" w:before="0" w:line="276"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identificar possível razão que impeça a participação em licitação, no âmbito do órgão ou entidade, proibição de contratar com o Poder Público, bem como ocorrências impeditivas indiretas. </w:t>
      </w:r>
    </w:p>
    <w:p w:rsidR="00000000" w:rsidDel="00000000" w:rsidP="00000000" w:rsidRDefault="00000000" w:rsidRPr="00000000" w14:paraId="00000137">
      <w:pPr>
        <w:spacing w:after="0" w:before="0" w:line="276"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7.5.6.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rsidR="00000000" w:rsidDel="00000000" w:rsidP="00000000" w:rsidRDefault="00000000" w:rsidRPr="00000000" w14:paraId="00000139">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7.5.7. Persistindo a irregularidade, o contratante deverá adotar as medidas necessárias à rescisão contratual nos autos do processo administrativo correspondente, assegurada a ampla defesa ao contratado. </w:t>
      </w:r>
    </w:p>
    <w:p w:rsidR="00000000" w:rsidDel="00000000" w:rsidP="00000000" w:rsidRDefault="00000000" w:rsidRPr="00000000" w14:paraId="0000013B">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7.5.8. Havendo a efetiva execução do objeto, os pagamentos serão realizados normalmente, até que se decida pela rescisão do contrato, caso o contratado não regularize sua situação junto ao SICAF.</w:t>
      </w:r>
    </w:p>
    <w:p w:rsidR="00000000" w:rsidDel="00000000" w:rsidP="00000000" w:rsidRDefault="00000000" w:rsidRPr="00000000" w14:paraId="0000013D">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E">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7.6. Prazo de pagamento</w:t>
      </w:r>
    </w:p>
    <w:p w:rsidR="00000000" w:rsidDel="00000000" w:rsidP="00000000" w:rsidRDefault="00000000" w:rsidRPr="00000000" w14:paraId="0000013F">
      <w:pP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0">
      <w:pPr>
        <w:spacing w:after="0" w:before="0" w:line="276" w:lineRule="auto"/>
        <w:jc w:val="both"/>
        <w:rPr>
          <w:rFonts w:ascii="Times New Roman" w:cs="Times New Roman" w:eastAsia="Times New Roman" w:hAnsi="Times New Roman"/>
          <w:color w:val="ff0000"/>
          <w:highlight w:val="yellow"/>
        </w:rPr>
      </w:pPr>
      <w:r w:rsidDel="00000000" w:rsidR="00000000" w:rsidRPr="00000000">
        <w:rPr>
          <w:rFonts w:ascii="Times New Roman" w:cs="Times New Roman" w:eastAsia="Times New Roman" w:hAnsi="Times New Roman"/>
          <w:rtl w:val="0"/>
        </w:rPr>
        <w:t xml:space="preserve">7.6.1. O pagamento será efetuado no prazo máximo de até 5 (cinco) dias úteis, contados da finalização da liquidação da despesa, conforme seção anterior, nos termos da Instrução Normativa SEGES/ME nº 77, de 2022. </w:t>
      </w:r>
      <w:r w:rsidDel="00000000" w:rsidR="00000000" w:rsidRPr="00000000">
        <w:rPr>
          <w:rtl w:val="0"/>
        </w:rPr>
      </w:r>
    </w:p>
    <w:p w:rsidR="00000000" w:rsidDel="00000000" w:rsidP="00000000" w:rsidRDefault="00000000" w:rsidRPr="00000000" w14:paraId="00000141">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7.7. Forma de pagamento</w:t>
      </w:r>
    </w:p>
    <w:p w:rsidR="00000000" w:rsidDel="00000000" w:rsidP="00000000" w:rsidRDefault="00000000" w:rsidRPr="00000000" w14:paraId="00000143">
      <w:pP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4">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7.7.1. O pagamento será realizado pelo Contratante, preferencialmente, mediante boleto bancário, emitido pela Contratada. </w:t>
      </w:r>
    </w:p>
    <w:p w:rsidR="00000000" w:rsidDel="00000000" w:rsidP="00000000" w:rsidRDefault="00000000" w:rsidRPr="00000000" w14:paraId="00000145">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7.7.1.2. Não sendo possível a emissão do boleto bancário a que alude o subitem anterior, o pagamento poderá ser efetuado, de forma excepcional, por meio de transferência bancária, em banco, agência e conta corrente de titularidade da Contratada. </w:t>
      </w:r>
    </w:p>
    <w:p w:rsidR="00000000" w:rsidDel="00000000" w:rsidP="00000000" w:rsidRDefault="00000000" w:rsidRPr="00000000" w14:paraId="00000147">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 Quando do pagamento será efetuada a retenção tributária prevista na legislação aplicável. Independentemente do percentual de tributo inserido na planilha, quando houver, serão retidos na fonte, quando da realização do pagamento, os percentuais estabelecidos na legislação vigente. </w:t>
      </w:r>
    </w:p>
    <w:p w:rsidR="00000000" w:rsidDel="00000000" w:rsidP="00000000" w:rsidRDefault="00000000" w:rsidRPr="00000000" w14:paraId="00000149">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7.7.3. O contratado regularmente optante pelo Simples Nacional, nos termos da Lei Complementar nº 123, de 2006, não sofrerá a retenção tributária quanto aos impostos e contribuições abrangidos por aquele regime.  </w:t>
      </w:r>
    </w:p>
    <w:p w:rsidR="00000000" w:rsidDel="00000000" w:rsidP="00000000" w:rsidRDefault="00000000" w:rsidRPr="00000000" w14:paraId="0000014B">
      <w:pPr>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10"/>
        <w:tblW w:w="9480.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0"/>
        <w:tblGridChange w:id="0">
          <w:tblGrid>
            <w:gridCol w:w="9480"/>
          </w:tblGrid>
        </w:tblGridChange>
      </w:tblGrid>
      <w:tr>
        <w:trPr>
          <w:cantSplit w:val="0"/>
          <w:trHeight w:val="285" w:hRule="atLeast"/>
          <w:tblHeader w:val="0"/>
        </w:trPr>
        <w:tc>
          <w:tcPr>
            <w:shd w:fill="5b9bd5" w:val="clear"/>
          </w:tcPr>
          <w:p w:rsidR="00000000" w:rsidDel="00000000" w:rsidP="00000000" w:rsidRDefault="00000000" w:rsidRPr="00000000" w14:paraId="0000014C">
            <w:pPr>
              <w:spacing w:after="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8. DA FORMA E CRITÉRIOS DE SELEÇÃO DO FORNECEDOR </w:t>
            </w:r>
            <w:r w:rsidDel="00000000" w:rsidR="00000000" w:rsidRPr="00000000">
              <w:rPr>
                <w:rtl w:val="0"/>
              </w:rPr>
            </w:r>
          </w:p>
        </w:tc>
      </w:tr>
    </w:tbl>
    <w:p w:rsidR="00000000" w:rsidDel="00000000" w:rsidP="00000000" w:rsidRDefault="00000000" w:rsidRPr="00000000" w14:paraId="0000014D">
      <w:pPr>
        <w:spacing w:after="0" w:before="0" w:line="27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14E">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O fornecedor será selecionado por meio da realização de processo de CONTRATAÇÃO DIRETA, na modalidade DISPENSA EMERGENCIAL DE LICITAÇÃO, com fundamento no art. 75, inciso VIII, da Lei n° 14.133/2021, por se tratar de situação emergencial apta a ocasionar prejuízo e comprometer a segurança de obras, serviços, equipamentos e outros bens públicos.</w:t>
      </w:r>
    </w:p>
    <w:p w:rsidR="00000000" w:rsidDel="00000000" w:rsidP="00000000" w:rsidRDefault="00000000" w:rsidRPr="00000000" w14:paraId="0000014F">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Previamente à contratação, a Administração verificará o eventual descumprimento das condições para a contratação, especialmente quanto à existência de sanção que a impeça, mediante a consulta a cadastros informativos oficiais, tais como: </w:t>
      </w:r>
    </w:p>
    <w:p w:rsidR="00000000" w:rsidDel="00000000" w:rsidP="00000000" w:rsidRDefault="00000000" w:rsidRPr="00000000" w14:paraId="00000151">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spacing w:after="0" w:before="0" w:line="276"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SICAF; </w:t>
      </w:r>
    </w:p>
    <w:p w:rsidR="00000000" w:rsidDel="00000000" w:rsidP="00000000" w:rsidRDefault="00000000" w:rsidRPr="00000000" w14:paraId="00000153">
      <w:pPr>
        <w:spacing w:after="0" w:before="0" w:line="276"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CADIN; </w:t>
      </w:r>
    </w:p>
    <w:p w:rsidR="00000000" w:rsidDel="00000000" w:rsidP="00000000" w:rsidRDefault="00000000" w:rsidRPr="00000000" w14:paraId="00000154">
      <w:pPr>
        <w:spacing w:after="0" w:before="0" w:line="276"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Consulta Consolidada da Pessoa Jurídica – TCU (https://certidoesapf.apps.tcu.gov.br/); </w:t>
      </w:r>
    </w:p>
    <w:p w:rsidR="00000000" w:rsidDel="00000000" w:rsidP="00000000" w:rsidRDefault="00000000" w:rsidRPr="00000000" w14:paraId="00000155">
      <w:pPr>
        <w:spacing w:after="0" w:before="0" w:line="276"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Certidão Negativa Correicional – CGU (https://certidoes.cgu.gov.br/). </w:t>
      </w:r>
    </w:p>
    <w:p w:rsidR="00000000" w:rsidDel="00000000" w:rsidP="00000000" w:rsidRDefault="00000000" w:rsidRPr="00000000" w14:paraId="00000156">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7">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00000" w:rsidDel="00000000" w:rsidP="00000000" w:rsidRDefault="00000000" w:rsidRPr="00000000" w14:paraId="00000158">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Caso atendidas as condições para contratação, a habilitação do fornecedor será verificada por consulta ao SICAF, nos documentos por ele abrangidos. </w:t>
      </w:r>
    </w:p>
    <w:p w:rsidR="00000000" w:rsidDel="00000000" w:rsidP="00000000" w:rsidRDefault="00000000" w:rsidRPr="00000000" w14:paraId="0000015A">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É dever do fornecedor manter atualizada a respectiva documentação constante do SICAF, ou encaminhar, quando solicitado pela Administração, a respectiva documentação atualizada. </w:t>
      </w:r>
    </w:p>
    <w:p w:rsidR="00000000" w:rsidDel="00000000" w:rsidP="00000000" w:rsidRDefault="00000000" w:rsidRPr="00000000" w14:paraId="0000015C">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 Não serão aceitos documentos de habilitação com indicação de CNPJ/CPF diferentes, salvo aqueles legalmente permitidos. </w:t>
      </w:r>
    </w:p>
    <w:p w:rsidR="00000000" w:rsidDel="00000000" w:rsidP="00000000" w:rsidRDefault="00000000" w:rsidRPr="00000000" w14:paraId="0000015E">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rsidR="00000000" w:rsidDel="00000000" w:rsidP="00000000" w:rsidRDefault="00000000" w:rsidRPr="00000000" w14:paraId="00000160">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 Para fins de contratação, deverá o fornecedor comprovar os seguintes requisitos de habilitação:</w:t>
      </w:r>
    </w:p>
    <w:p w:rsidR="00000000" w:rsidDel="00000000" w:rsidP="00000000" w:rsidRDefault="00000000" w:rsidRPr="00000000" w14:paraId="00000162">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8.8.1. Habilitação Jurídica:</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.1.1. Empresário individual: inscrição no Registro Público de Empresas Mercantis, a cargo da Junta Comercial da respectiva sede;</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.1.2. Microempreendedor Individual – MEI: Certificado da Condição de Microempreendedor Individual - CCMEI, cuja aceitação ficará condicionada à verificação da autenticidade no sítio </w:t>
      </w:r>
      <w:hyperlink r:id="rId7">
        <w:r w:rsidDel="00000000" w:rsidR="00000000" w:rsidRPr="00000000">
          <w:rPr>
            <w:rFonts w:ascii="Times New Roman" w:cs="Times New Roman" w:eastAsia="Times New Roman" w:hAnsi="Times New Roman"/>
            <w:color w:val="000000"/>
            <w:u w:val="single"/>
            <w:rtl w:val="0"/>
          </w:rPr>
          <w:t xml:space="preserve">https://www.gov.br/empresas-e-negocios/pt-br/empreendedor</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.1.3. Sociedade empresária, sociedade limitada unipessoal – SLU: inscrição do ato constitutivo, estatuto ou contrato social no Registro Público de Empresas Mercantis, a cargo da Junta Comercial da respectiva sede, acompanhada de documento comprobatório de seus administradores;</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.1.5. Sociedade simples: inscrição do ato constitutivo no Registro Civil de Pessoas Jurídicas do local de sua sede, acompanhada de documento comprobatório de seus administradores;</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.1.6.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.1.7. Os documentos apresentados deverão estar acompanhados de todas as alterações ou da consolidação respectiva.</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8.8.2. Habilitação Fiscal, Social e Trabalhista</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8.8.2.1. Prova de inscrição no Cadastro Nacional de Pessoas Jurídicas; </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.2.3. Prova de regularidade com o Fundo de Garantia do Tempo de Serviço (FGTS); </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.2.5. Prova de inscrição no cadastro de contribuintes Estadual e/ou municipal, se houver relativo ao domicílio ou sede do fornecedor, pertinente ao seu ramo de atividade e compatível com o objeto contratual; </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.2.6 Prova de regularidade com a Fazenda Estadual e/ou municipal, do domicílio ou sede do fornecedor, relativa à atividade em cujo exercício contrata ou concorre; </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.2.7. Caso o fornecedor seja considerado isento dos tributos Estadual ou Municipal relacionados ao objeto contratual, deverá comprovar tal condição mediante a apresentação de declaração da Fazenda respectiva do seu domicílio ou sede, ou outra equivalente, na forma da lei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rtl w:val="0"/>
        </w:rPr>
        <w:t xml:space="preserve">8.</w:t>
      </w:r>
      <w:r w:rsidDel="00000000" w:rsidR="00000000" w:rsidRPr="00000000">
        <w:rPr>
          <w:rFonts w:ascii="Times New Roman" w:cs="Times New Roman" w:eastAsia="Times New Roman" w:hAnsi="Times New Roman"/>
          <w:rtl w:val="0"/>
        </w:rPr>
        <w:t xml:space="preserve">8</w:t>
      </w:r>
      <w:r w:rsidDel="00000000" w:rsidR="00000000" w:rsidRPr="00000000">
        <w:rPr>
          <w:rFonts w:ascii="Times New Roman" w:cs="Times New Roman" w:eastAsia="Times New Roman" w:hAnsi="Times New Roman"/>
          <w:color w:val="000000"/>
          <w:rtl w:val="0"/>
        </w:rPr>
        <w:t xml:space="preserve">.2.8. Declaração de que não emprega </w:t>
      </w:r>
      <w:r w:rsidDel="00000000" w:rsidR="00000000" w:rsidRPr="00000000">
        <w:rPr>
          <w:rFonts w:ascii="Times New Roman" w:cs="Times New Roman" w:eastAsia="Times New Roman" w:hAnsi="Times New Roman"/>
          <w:color w:val="000000"/>
          <w:highlight w:val="white"/>
          <w:rtl w:val="0"/>
        </w:rPr>
        <w:t xml:space="preserve">menores de dezoito anos e de qualquer trabalho a menores de dezesseis anos, salvo na condição de aprendiz, a partir de quatorze anos, nos termos do art. 68, inc. VI, da lei n° 14.133/2021, c/c. o art. 7°, XXXIII, da Constituição Federal de 1988</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before="0" w:line="276"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85">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8.8.3. Habilitação Técnica</w:t>
      </w:r>
    </w:p>
    <w:p w:rsidR="00000000" w:rsidDel="00000000" w:rsidP="00000000" w:rsidRDefault="00000000" w:rsidRPr="00000000" w14:paraId="00000186">
      <w:pPr>
        <w:spacing w:after="0" w:before="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7">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8.8.3.1. Comprovação de aptidão para execução de serviço de complexidade operacional equivalente ou superior com o objeto desta contratação, por meio da apresentação de certidões ou atestados, emitidos por pessoas jurídicas de direito público ou privado.</w:t>
      </w:r>
    </w:p>
    <w:p w:rsidR="00000000" w:rsidDel="00000000" w:rsidP="00000000" w:rsidRDefault="00000000" w:rsidRPr="00000000" w14:paraId="00000188">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8.8.3.2. Será considerado compatível o atestado que comprove a execução de serviços de natureza semelhante, contendo descrição do escopo.</w:t>
      </w:r>
    </w:p>
    <w:p w:rsidR="00000000" w:rsidDel="00000000" w:rsidP="00000000" w:rsidRDefault="00000000" w:rsidRPr="00000000" w14:paraId="0000018A">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8.8.3.3. Comprovação de responsável técnico habilitado e regular perante o Conselho Profissional competente (CREA ou CAU), responsabilizando-se pela emissão, quando cabível, de Anotação de Responsabilidade Técnica (ART), Registro de Responsabilidade Técnica (RRT) ou documento equivalente aplicável.</w:t>
      </w:r>
    </w:p>
    <w:p w:rsidR="00000000" w:rsidDel="00000000" w:rsidP="00000000" w:rsidRDefault="00000000" w:rsidRPr="00000000" w14:paraId="0000018C">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D">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8.8.3.4. Declaração de disponibilidade e capacidade de execução, indicando que dispõe de equipe, recursos e meios necessários para cumprir o escopo previsto no Termo de Referência.</w:t>
      </w:r>
    </w:p>
    <w:p w:rsidR="00000000" w:rsidDel="00000000" w:rsidP="00000000" w:rsidRDefault="00000000" w:rsidRPr="00000000" w14:paraId="0000018E">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8.8.3.5. A exigência de qualificação técnica observará o princípio da proporcionalidade, vedadas exigências irrelevantes, excessivas ou que restrinjam injustificadamente a participação de interessados, considerando tratar-se de contratação direta por dispensa.</w:t>
      </w:r>
    </w:p>
    <w:p w:rsidR="00000000" w:rsidDel="00000000" w:rsidP="00000000" w:rsidRDefault="00000000" w:rsidRPr="00000000" w14:paraId="00000190">
      <w:pPr>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11"/>
        <w:tblW w:w="949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5"/>
        <w:tblGridChange w:id="0">
          <w:tblGrid>
            <w:gridCol w:w="9495"/>
          </w:tblGrid>
        </w:tblGridChange>
      </w:tblGrid>
      <w:tr>
        <w:trPr>
          <w:cantSplit w:val="0"/>
          <w:trHeight w:val="315" w:hRule="atLeast"/>
          <w:tblHeader w:val="0"/>
        </w:trPr>
        <w:tc>
          <w:tcPr>
            <w:shd w:fill="5b9bd5" w:val="clear"/>
          </w:tcPr>
          <w:p w:rsidR="00000000" w:rsidDel="00000000" w:rsidP="00000000" w:rsidRDefault="00000000" w:rsidRPr="00000000" w14:paraId="00000191">
            <w:pPr>
              <w:spacing w:after="0"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9. DAS ESTIMATIVAS DO VALOR DA CONTRATAÇÃO </w:t>
            </w:r>
            <w:r w:rsidDel="00000000" w:rsidR="00000000" w:rsidRPr="00000000">
              <w:rPr>
                <w:rtl w:val="0"/>
              </w:rPr>
            </w:r>
          </w:p>
        </w:tc>
      </w:tr>
    </w:tbl>
    <w:p w:rsidR="00000000" w:rsidDel="00000000" w:rsidP="00000000" w:rsidRDefault="00000000" w:rsidRPr="00000000" w14:paraId="00000192">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O valor total estimado para a contratação é de R$13.229,40 (treze mil, duzentos e vinte e nove reais e quarenta centavos).</w:t>
      </w:r>
    </w:p>
    <w:p w:rsidR="00000000" w:rsidDel="00000000" w:rsidP="00000000" w:rsidRDefault="00000000" w:rsidRPr="00000000" w14:paraId="00000194">
      <w:pPr>
        <w:spacing w:after="0" w:before="0" w:line="276" w:lineRule="auto"/>
        <w:jc w:val="both"/>
        <w:rPr>
          <w:rFonts w:ascii="Times New Roman" w:cs="Times New Roman" w:eastAsia="Times New Roman" w:hAnsi="Times New Roman"/>
        </w:rPr>
      </w:pPr>
      <w:r w:rsidDel="00000000" w:rsidR="00000000" w:rsidRPr="00000000">
        <w:rPr>
          <w:rtl w:val="0"/>
        </w:rPr>
      </w:r>
    </w:p>
    <w:tbl>
      <w:tblPr>
        <w:tblStyle w:val="Table12"/>
        <w:tblW w:w="949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5"/>
        <w:tblGridChange w:id="0">
          <w:tblGrid>
            <w:gridCol w:w="9495"/>
          </w:tblGrid>
        </w:tblGridChange>
      </w:tblGrid>
      <w:tr>
        <w:trPr>
          <w:cantSplit w:val="0"/>
          <w:trHeight w:val="300" w:hRule="atLeast"/>
          <w:tblHeader w:val="0"/>
        </w:trPr>
        <w:tc>
          <w:tcPr>
            <w:shd w:fill="5b9bd5" w:val="clear"/>
          </w:tcPr>
          <w:p w:rsidR="00000000" w:rsidDel="00000000" w:rsidP="00000000" w:rsidRDefault="00000000" w:rsidRPr="00000000" w14:paraId="00000195">
            <w:pPr>
              <w:widowControl w:val="0"/>
              <w:spacing w:after="0" w:before="0" w:line="276" w:lineRule="auto"/>
              <w:ind w:left="28" w:firstLine="28"/>
              <w:jc w:val="both"/>
              <w:rPr>
                <w:rFonts w:ascii="Times New Roman" w:cs="Times New Roman" w:eastAsia="Times New Roman" w:hAnsi="Times New Roman"/>
                <w:b w:val="1"/>
                <w:bCs w:val="1"/>
                <w:sz w:val="22"/>
                <w:szCs w:val="22"/>
              </w:rPr>
            </w:pPr>
            <w:bookmarkStart w:colFirst="0" w:colLast="0" w:name="_heading=h.1y810tw" w:id="9"/>
            <w:bookmarkEnd w:id="9"/>
            <w:r w:rsidDel="00000000" w:rsidR="00000000" w:rsidRPr="00000000">
              <w:rPr>
                <w:rFonts w:ascii="Times New Roman" w:cs="Times New Roman" w:eastAsia="Times New Roman" w:hAnsi="Times New Roman"/>
                <w:b w:val="1"/>
                <w:bCs w:val="1"/>
                <w:sz w:val="22"/>
                <w:szCs w:val="22"/>
                <w:rtl w:val="0"/>
              </w:rPr>
              <w:t xml:space="preserve">10. DA ADEQUAÇÃO ORÇAMENTÁRIA </w:t>
            </w:r>
          </w:p>
        </w:tc>
      </w:tr>
    </w:tbl>
    <w:p w:rsidR="00000000" w:rsidDel="00000000" w:rsidP="00000000" w:rsidRDefault="00000000" w:rsidRPr="00000000" w14:paraId="00000196">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spacing w:after="0" w:before="0" w:line="276" w:lineRule="auto"/>
        <w:jc w:val="both"/>
        <w:rPr>
          <w:rFonts w:ascii="Times New Roman" w:cs="Times New Roman" w:eastAsia="Times New Roman" w:hAnsi="Times New Roman"/>
        </w:rPr>
      </w:pPr>
      <w:bookmarkStart w:colFirst="0" w:colLast="0" w:name="_heading=h.6iwsu2usjhbw" w:id="10"/>
      <w:bookmarkEnd w:id="10"/>
      <w:r w:rsidDel="00000000" w:rsidR="00000000" w:rsidRPr="00000000">
        <w:rPr>
          <w:rFonts w:ascii="Times New Roman" w:cs="Times New Roman" w:eastAsia="Times New Roman" w:hAnsi="Times New Roman"/>
          <w:rtl w:val="0"/>
        </w:rPr>
        <w:t xml:space="preserve">10.1. O presente objeto tem sua classificação contábil registrada na seguinte rubrica orçamentária: 6.3.1.3.04.01.030 - MANUTENÇÃO E CONSERVAÇÃO DOS BENS IMÓVEIS.</w:t>
      </w:r>
    </w:p>
    <w:p w:rsidR="00000000" w:rsidDel="00000000" w:rsidP="00000000" w:rsidRDefault="00000000" w:rsidRPr="00000000" w14:paraId="00000198">
      <w:pPr>
        <w:spacing w:after="0" w:before="0" w:line="276" w:lineRule="auto"/>
        <w:jc w:val="both"/>
        <w:rPr>
          <w:rFonts w:ascii="Times New Roman" w:cs="Times New Roman" w:eastAsia="Times New Roman" w:hAnsi="Times New Roman"/>
        </w:rPr>
      </w:pPr>
      <w:bookmarkStart w:colFirst="0" w:colLast="0" w:name="_heading=h.faiugqg44s2w" w:id="11"/>
      <w:bookmarkEnd w:id="11"/>
      <w:r w:rsidDel="00000000" w:rsidR="00000000" w:rsidRPr="00000000">
        <w:rPr>
          <w:rtl w:val="0"/>
        </w:rPr>
      </w:r>
    </w:p>
    <w:tbl>
      <w:tblPr>
        <w:tblStyle w:val="Table13"/>
        <w:tblW w:w="943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35"/>
        <w:tblGridChange w:id="0">
          <w:tblGrid>
            <w:gridCol w:w="9435"/>
          </w:tblGrid>
        </w:tblGridChange>
      </w:tblGrid>
      <w:tr>
        <w:trPr>
          <w:cantSplit w:val="0"/>
          <w:trHeight w:val="300" w:hRule="atLeast"/>
          <w:tblHeader w:val="0"/>
        </w:trPr>
        <w:tc>
          <w:tcPr>
            <w:shd w:fill="5b9bd5" w:val="clear"/>
          </w:tcPr>
          <w:p w:rsidR="00000000" w:rsidDel="00000000" w:rsidP="00000000" w:rsidRDefault="00000000" w:rsidRPr="00000000" w14:paraId="00000199">
            <w:pPr>
              <w:spacing w:after="0" w:before="0" w:line="276"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11. DA EXPEDIÇÃO</w:t>
            </w:r>
          </w:p>
        </w:tc>
      </w:tr>
    </w:tbl>
    <w:p w:rsidR="00000000" w:rsidDel="00000000" w:rsidP="00000000" w:rsidRDefault="00000000" w:rsidRPr="00000000" w14:paraId="0000019A">
      <w:pPr>
        <w:spacing w:after="0" w:before="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Este Termo de Referência foi expedido na cidade de João Pessoa/PB, em 22 de junho de 2026</w:t>
      </w:r>
      <w:r w:rsidDel="00000000" w:rsidR="00000000" w:rsidRPr="00000000">
        <w:rPr>
          <w:rFonts w:ascii="Times New Roman" w:cs="Times New Roman" w:eastAsia="Times New Roman" w:hAnsi="Times New Roman"/>
          <w:color w:val="ee0000"/>
          <w:rtl w:val="0"/>
        </w:rPr>
        <w:t xml:space="preserve"> </w:t>
      </w:r>
      <w:r w:rsidDel="00000000" w:rsidR="00000000" w:rsidRPr="00000000">
        <w:rPr>
          <w:rFonts w:ascii="Times New Roman" w:cs="Times New Roman" w:eastAsia="Times New Roman" w:hAnsi="Times New Roman"/>
          <w:rtl w:val="0"/>
        </w:rPr>
        <w:t xml:space="preserve">por:</w:t>
      </w:r>
      <w:r w:rsidDel="00000000" w:rsidR="00000000" w:rsidRPr="00000000">
        <w:rPr>
          <w:rtl w:val="0"/>
        </w:rPr>
      </w:r>
    </w:p>
    <w:p w:rsidR="00000000" w:rsidDel="00000000" w:rsidP="00000000" w:rsidRDefault="00000000" w:rsidRPr="00000000" w14:paraId="0000019C">
      <w:pPr>
        <w:spacing w:after="0" w:before="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spacing w:after="0" w:before="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spacing w:after="0" w:before="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spacing w:after="0" w:before="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____________________________</w:t>
      </w:r>
      <w:r w:rsidDel="00000000" w:rsidR="00000000" w:rsidRPr="00000000">
        <w:rPr>
          <w:rtl w:val="0"/>
        </w:rPr>
      </w:r>
    </w:p>
    <w:p w:rsidR="00000000" w:rsidDel="00000000" w:rsidP="00000000" w:rsidRDefault="00000000" w:rsidRPr="00000000" w14:paraId="000001A0">
      <w:pPr>
        <w:spacing w:after="0" w:before="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Gustavo Beltrão</w:t>
      </w:r>
      <w:r w:rsidDel="00000000" w:rsidR="00000000" w:rsidRPr="00000000">
        <w:rPr>
          <w:rtl w:val="0"/>
        </w:rPr>
      </w:r>
    </w:p>
    <w:p w:rsidR="00000000" w:rsidDel="00000000" w:rsidP="00000000" w:rsidRDefault="00000000" w:rsidRPr="00000000" w14:paraId="000001A1">
      <w:pPr>
        <w:spacing w:after="0" w:before="0"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Superintendência – CRECI/PB</w:t>
      </w:r>
      <w:r w:rsidDel="00000000" w:rsidR="00000000" w:rsidRPr="00000000">
        <w:rPr>
          <w:rtl w:val="0"/>
        </w:rPr>
      </w:r>
    </w:p>
    <w:sectPr>
      <w:headerReference r:id="rId8" w:type="default"/>
      <w:headerReference r:id="rId9" w:type="first"/>
      <w:headerReference r:id="rId10" w:type="even"/>
      <w:footerReference r:id="rId11" w:type="default"/>
      <w:pgSz w:h="16838" w:w="11906" w:orient="portrait"/>
      <w:pgMar w:bottom="1417" w:top="2692" w:left="1134"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center" w:leader="none" w:pos="4252"/>
        <w:tab w:val="right" w:leader="none" w:pos="8504"/>
        <w:tab w:val="left" w:leader="none" w:pos="7755"/>
      </w:tabs>
      <w:spacing w:after="0" w:line="240" w:lineRule="auto"/>
      <w:jc w:val="center"/>
      <w:rPr>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-670551</wp:posOffset>
          </wp:positionH>
          <wp:positionV relativeFrom="paragraph">
            <wp:posOffset>-374006</wp:posOffset>
          </wp:positionV>
          <wp:extent cx="7560310" cy="1066800"/>
          <wp:effectExtent b="0" l="0" r="0" t="0"/>
          <wp:wrapNone/>
          <wp:docPr descr="rodape-timbrado-pagina FINA.png" id="2" name="image1.png"/>
          <a:graphic>
            <a:graphicData uri="http://schemas.openxmlformats.org/drawingml/2006/picture">
              <pic:pic>
                <pic:nvPicPr>
                  <pic:cNvPr descr="rodape-timbrado-pagina FINA.png" id="0" name="image1.png"/>
                  <pic:cNvPicPr preferRelativeResize="0"/>
                </pic:nvPicPr>
                <pic:blipFill>
                  <a:blip r:embed="rId1"/>
                  <a:srcRect b="0" l="0" r="0" t="0"/>
                  <a:stretch>
                    <a:fillRect/>
                  </a:stretch>
                </pic:blipFill>
                <pic:spPr>
                  <a:xfrm>
                    <a:off x="0" y="0"/>
                    <a:ext cx="7560310" cy="10668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-723891</wp:posOffset>
          </wp:positionH>
          <wp:positionV relativeFrom="paragraph">
            <wp:posOffset>-389247</wp:posOffset>
          </wp:positionV>
          <wp:extent cx="7560945" cy="866775"/>
          <wp:effectExtent b="0" l="0" r="0" t="0"/>
          <wp:wrapNone/>
          <wp:docPr descr="cabecalho-timbrado-pagina FINA.png" id="1" name="image2.png"/>
          <a:graphic>
            <a:graphicData uri="http://schemas.openxmlformats.org/drawingml/2006/picture">
              <pic:pic>
                <pic:nvPicPr>
                  <pic:cNvPr descr="cabecalho-timbrado-pagina FINA.png" id="0" name="image2.png"/>
                  <pic:cNvPicPr preferRelativeResize="0"/>
                </pic:nvPicPr>
                <pic:blipFill>
                  <a:blip r:embed="rId1"/>
                  <a:srcRect b="0" l="0" r="0" t="0"/>
                  <a:stretch>
                    <a:fillRect/>
                  </a:stretch>
                </pic:blipFill>
                <pic:spPr>
                  <a:xfrm>
                    <a:off x="0" y="0"/>
                    <a:ext cx="7560945" cy="8667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595.2pt;height:500.15pt;rotation:0;z-index:-503316481;mso-position-horizontal-relative:margin;mso-position-horizontal:center;mso-position-vertical-relative:margin;mso-position-vertical:center;" alt="" type="#_x0000_t75">
          <v:imagedata cropbottom="0f" cropleft="0f" cropright="0f" croptop="0f" r:id="rId1" o:title="image3.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595.2pt;height:500.15pt;rotation:0;z-index:-503316481;mso-position-horizontal-relative:margin;mso-position-horizontal:center;mso-position-vertical-relative:margin;mso-position-vertical:center;" alt="" type="#_x0000_t75">
          <v:imagedata cropbottom="0f" cropleft="0f" cropright="0f" croptop="0f" r:id="rId1" o:title="image3.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1.%2."/>
      <w:lvlJc w:val="left"/>
      <w:pPr>
        <w:ind w:left="1080" w:hanging="720"/>
      </w:pPr>
      <w:rPr>
        <w:rFonts w:ascii="Calibri" w:cs="Calibri" w:eastAsia="Calibri" w:hAnsi="Calibri"/>
        <w:b w:val="0"/>
        <w:bCs w:val="0"/>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before="100" w:line="240" w:lineRule="auto"/>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br/empresas-e-negocios/pt-br/empreendedor"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BbBe1r5MJsAIQeaHlmE7YovhA==">CgMxLjAyCGguZ2pkZ3hzMg5oLm9jYTRjbThyeW4zODIOaC5wcHRyaDBlb2FjZjYyCWguMzBqMHpsbDIJaC4xZm9iOXRlMgloLjN6bnlzaDcyCWguMmp4c3hxaDIIaC56MzM3eWEyCWguM2oycXFtMzIJaC4xeTgxMHR3Mg5oLjZpd3N1MnVzamhidzIOaC5mYWl1Z3FnNDRzMnc4AHIhMXNCQmQ2dlJGV0R5eVlwS19wRVppdTVzQkU2akpsS1lL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