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AVISO DE DISPENSA DE LICITAÇÃO Nº 029/2026</w:t>
      </w:r>
    </w:p>
    <w:p w:rsidR="00000000" w:rsidDel="00000000" w:rsidP="00000000" w:rsidRDefault="00000000" w:rsidRPr="00000000" w14:paraId="00000002">
      <w:pPr>
        <w:spacing w:after="0" w:before="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1"/>
          <w:bCs w:val="1"/>
          <w:sz w:val="24"/>
          <w:szCs w:val="24"/>
          <w:rtl w:val="0"/>
        </w:rPr>
        <w:t xml:space="preserve">Conselho Regional de Corretores de Imóveis da Paraíba – CRECI/PB</w:t>
      </w:r>
      <w:r w:rsidDel="00000000" w:rsidR="00000000" w:rsidRPr="00000000">
        <w:rPr>
          <w:rFonts w:ascii="Times New Roman" w:cs="Times New Roman" w:eastAsia="Times New Roman" w:hAnsi="Times New Roman"/>
          <w:sz w:val="24"/>
          <w:szCs w:val="24"/>
          <w:rtl w:val="0"/>
        </w:rPr>
        <w:t xml:space="preserve">, entidade de fiscalização do exercício profissional, inscrito no CNPJ nº 09.292.194/0001-10, com sede na Av. Almirante Barroso, 918 – Centro - CEP: 58013-120 - João Pessoa – PB, devidamente autorizado no </w:t>
      </w:r>
      <w:r w:rsidDel="00000000" w:rsidR="00000000" w:rsidRPr="00000000">
        <w:rPr>
          <w:rFonts w:ascii="Times New Roman" w:cs="Times New Roman" w:eastAsia="Times New Roman" w:hAnsi="Times New Roman"/>
          <w:sz w:val="24"/>
          <w:szCs w:val="24"/>
          <w:u w:val="single"/>
          <w:rtl w:val="0"/>
        </w:rPr>
        <w:t xml:space="preserve">Processo Administrativo de Dispensa de Licitação nº 029/2026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torna público, para conhecimento dos interessados, que será realizada a Contratação Direta, na hipótese prevista no artigo 75, inciso VIII, da Lei nº 14.133, de 1º de abril de 2021, e demais legislações aplicáveis.</w:t>
      </w:r>
    </w:p>
    <w:p w:rsidR="00000000" w:rsidDel="00000000" w:rsidP="00000000" w:rsidRDefault="00000000" w:rsidRPr="00000000" w14:paraId="0000000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w:t>
      </w:r>
      <w:r w:rsidDel="00000000" w:rsidR="00000000" w:rsidRPr="00000000">
        <w:rPr>
          <w:rFonts w:ascii="Times New Roman" w:cs="Times New Roman" w:eastAsia="Times New Roman" w:hAnsi="Times New Roman"/>
          <w:sz w:val="24"/>
          <w:szCs w:val="24"/>
          <w:rtl w:val="0"/>
        </w:rPr>
        <w:t xml:space="preserve">25/06/2026.</w:t>
      </w:r>
    </w:p>
    <w:p w:rsidR="00000000" w:rsidDel="00000000" w:rsidP="00000000" w:rsidRDefault="00000000" w:rsidRPr="00000000" w14:paraId="00000006">
      <w:pPr>
        <w:spacing w:after="0" w:before="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Local:</w:t>
      </w:r>
      <w:r w:rsidDel="00000000" w:rsidR="00000000" w:rsidRPr="00000000">
        <w:rPr>
          <w:rFonts w:ascii="Times New Roman" w:cs="Times New Roman" w:eastAsia="Times New Roman" w:hAnsi="Times New Roman"/>
          <w:sz w:val="24"/>
          <w:szCs w:val="24"/>
          <w:rtl w:val="0"/>
        </w:rPr>
        <w:t xml:space="preserve"> Site institucional do Conselho.</w:t>
        <w:br w:type="textWrapping"/>
      </w:r>
      <w:r w:rsidDel="00000000" w:rsidR="00000000" w:rsidRPr="00000000">
        <w:rPr>
          <w:rtl w:val="0"/>
        </w:rPr>
      </w:r>
    </w:p>
    <w:p w:rsidR="00000000" w:rsidDel="00000000" w:rsidP="00000000" w:rsidRDefault="00000000" w:rsidRPr="00000000" w14:paraId="0000000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Publicidade dos atos desta dispensa de licitação: </w:t>
      </w:r>
      <w:hyperlink r:id="rId7">
        <w:r w:rsidDel="00000000" w:rsidR="00000000" w:rsidRPr="00000000">
          <w:rPr>
            <w:rFonts w:ascii="Times New Roman" w:cs="Times New Roman" w:eastAsia="Times New Roman" w:hAnsi="Times New Roman"/>
            <w:color w:val="000000"/>
            <w:sz w:val="24"/>
            <w:szCs w:val="24"/>
            <w:u w:val="none"/>
            <w:rtl w:val="0"/>
          </w:rPr>
          <w:t xml:space="preserve">https://creci-pb.gov.br/</w:t>
        </w:r>
      </w:hyperlink>
      <w:r w:rsidDel="00000000" w:rsidR="00000000" w:rsidRPr="00000000">
        <w:rPr>
          <w:rtl w:val="0"/>
        </w:rPr>
      </w:r>
    </w:p>
    <w:p w:rsidR="00000000" w:rsidDel="00000000" w:rsidP="00000000" w:rsidRDefault="00000000" w:rsidRPr="00000000" w14:paraId="0000000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OBJETO DA CONTRATAÇÃO DIRETA</w:t>
      </w:r>
    </w:p>
    <w:p w:rsidR="00000000" w:rsidDel="00000000" w:rsidP="00000000" w:rsidRDefault="00000000" w:rsidRPr="00000000" w14:paraId="0000000A">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 objeto da presente dispensa é a contratação emergencial de empresa especializada para execução de serviços de manutenção predial corretiva, compreendendo retelhamento, substituição e impermeabilização de calhas, vedação técnica de janelas, reparos e desobstrução de calhas e drenos do Conselho Regional de Corretores de Imóveis da 21ª Região – CRECI/PB, conforme especificado no Termo de Referência.</w:t>
      </w:r>
    </w:p>
    <w:p w:rsidR="00000000" w:rsidDel="00000000" w:rsidP="00000000" w:rsidRDefault="00000000" w:rsidRPr="00000000" w14:paraId="0000000C">
      <w:pPr>
        <w:shd w:fill="ffffff" w:val="clear"/>
        <w:tabs>
          <w:tab w:val="left" w:leader="none" w:pos="426"/>
        </w:tabs>
        <w:spacing w:after="0" w:before="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7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3840"/>
        <w:gridCol w:w="915"/>
        <w:gridCol w:w="1665"/>
        <w:tblGridChange w:id="0">
          <w:tblGrid>
            <w:gridCol w:w="660"/>
            <w:gridCol w:w="3840"/>
            <w:gridCol w:w="915"/>
            <w:gridCol w:w="1665"/>
          </w:tblGrid>
        </w:tblGridChange>
      </w:tblGrid>
      <w:tr>
        <w:trPr>
          <w:cantSplit w:val="0"/>
          <w:trHeight w:val="539" w:hRule="atLeast"/>
          <w:tblHeader w:val="0"/>
        </w:trPr>
        <w:tc>
          <w:tcPr>
            <w:shd w:fill="5b9bd5" w:val="clear"/>
          </w:tcPr>
          <w:p w:rsidR="00000000" w:rsidDel="00000000" w:rsidP="00000000" w:rsidRDefault="00000000" w:rsidRPr="00000000" w14:paraId="0000000D">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Item</w:t>
            </w:r>
          </w:p>
        </w:tc>
        <w:tc>
          <w:tcPr>
            <w:shd w:fill="5b9bd5" w:val="clear"/>
          </w:tcPr>
          <w:p w:rsidR="00000000" w:rsidDel="00000000" w:rsidP="00000000" w:rsidRDefault="00000000" w:rsidRPr="00000000" w14:paraId="0000000E">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Especificação</w:t>
            </w:r>
          </w:p>
        </w:tc>
        <w:tc>
          <w:tcPr>
            <w:shd w:fill="5b9bd5" w:val="clear"/>
          </w:tcPr>
          <w:p w:rsidR="00000000" w:rsidDel="00000000" w:rsidP="00000000" w:rsidRDefault="00000000" w:rsidRPr="00000000" w14:paraId="0000000F">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Quant.</w:t>
            </w:r>
          </w:p>
        </w:tc>
        <w:tc>
          <w:tcPr>
            <w:shd w:fill="5b9bd5" w:val="clear"/>
          </w:tcPr>
          <w:p w:rsidR="00000000" w:rsidDel="00000000" w:rsidP="00000000" w:rsidRDefault="00000000" w:rsidRPr="00000000" w14:paraId="00000010">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Valor </w:t>
            </w:r>
          </w:p>
          <w:p w:rsidR="00000000" w:rsidDel="00000000" w:rsidP="00000000" w:rsidRDefault="00000000" w:rsidRPr="00000000" w14:paraId="00000011">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Total</w:t>
            </w:r>
          </w:p>
        </w:tc>
      </w:tr>
      <w:tr>
        <w:trPr>
          <w:cantSplit w:val="0"/>
          <w:trHeight w:val="920" w:hRule="atLeast"/>
          <w:tblHeader w:val="0"/>
        </w:trPr>
        <w:tc>
          <w:tcPr/>
          <w:p w:rsidR="00000000" w:rsidDel="00000000" w:rsidP="00000000" w:rsidRDefault="00000000" w:rsidRPr="00000000" w14:paraId="00000012">
            <w:pPr>
              <w:tabs>
                <w:tab w:val="left" w:leader="none" w:pos="426"/>
              </w:tabs>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tabs>
                <w:tab w:val="left" w:leader="none" w:pos="426"/>
              </w:tabs>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tabs>
                <w:tab w:val="left" w:leader="none" w:pos="426"/>
              </w:tabs>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tabs>
                <w:tab w:val="left" w:leader="none" w:pos="426"/>
              </w:tabs>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16">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Contratação emergencial de empresa especializada para execução de serviços de manutenção predial corretiva, compreendendo retelhamento, substituição e impermeabilização de calhas, vedação técnica de janelas, reparos e desobstrução de calhas e drenos do Conselho Regional de Corretores de Imóveis da 21ª Região – CRECI/PB.</w:t>
            </w:r>
          </w:p>
        </w:tc>
        <w:tc>
          <w:tcPr>
            <w:vAlign w:val="center"/>
          </w:tcPr>
          <w:p w:rsidR="00000000" w:rsidDel="00000000" w:rsidP="00000000" w:rsidRDefault="00000000" w:rsidRPr="00000000" w14:paraId="00000017">
            <w:pPr>
              <w:tabs>
                <w:tab w:val="left" w:leader="none" w:pos="426"/>
              </w:tabs>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18">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R$ 13.229,40</w:t>
            </w:r>
          </w:p>
        </w:tc>
      </w:tr>
    </w:tbl>
    <w:p w:rsidR="00000000" w:rsidDel="00000000" w:rsidP="00000000" w:rsidRDefault="00000000" w:rsidRPr="00000000" w14:paraId="00000019">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DA FORMALIZAÇÃO DA CONTRATAÇÃO DIRETA </w:t>
      </w:r>
    </w:p>
    <w:p w:rsidR="00000000" w:rsidDel="00000000" w:rsidP="00000000" w:rsidRDefault="00000000" w:rsidRPr="00000000" w14:paraId="0000001B">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 presente contratação direta será formalizada por dispensa emergencial de licitação, com fundamento no art. 75, inciso VIII, da Lei nº 14.133/2021, em razão da necessidade urgente de execução dos serviços descritos neste Aviso e no Termo de Referência.</w:t>
      </w:r>
    </w:p>
    <w:p w:rsidR="00000000" w:rsidDel="00000000" w:rsidP="00000000" w:rsidRDefault="00000000" w:rsidRPr="00000000" w14:paraId="0000001D">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Com fundamento na pesquisa de mercado realizada e na documentação constante dos autos, foi identificada como mais vantajosa para a Administração a proposta apresentada pela empresa abaixo indicada: </w:t>
      </w:r>
    </w:p>
    <w:p w:rsidR="00000000" w:rsidDel="00000000" w:rsidP="00000000" w:rsidRDefault="00000000" w:rsidRPr="00000000" w14:paraId="0000001F">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5"/>
        <w:gridCol w:w="4410"/>
        <w:tblGridChange w:id="0">
          <w:tblGrid>
            <w:gridCol w:w="5025"/>
            <w:gridCol w:w="4410"/>
          </w:tblGrid>
        </w:tblGridChange>
      </w:tblGrid>
      <w:tr>
        <w:trPr>
          <w:cantSplit w:val="0"/>
          <w:tblHeader w:val="0"/>
        </w:trPr>
        <w:tc>
          <w:tcPr/>
          <w:p w:rsidR="00000000" w:rsidDel="00000000" w:rsidP="00000000" w:rsidRDefault="00000000" w:rsidRPr="00000000" w14:paraId="00000020">
            <w:pPr>
              <w:spacing w:after="0" w:before="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FORNECEDOR SELECIONADO</w:t>
            </w:r>
          </w:p>
        </w:tc>
        <w:tc>
          <w:tcPr/>
          <w:p w:rsidR="00000000" w:rsidDel="00000000" w:rsidP="00000000" w:rsidRDefault="00000000" w:rsidRPr="00000000" w14:paraId="00000021">
            <w:pPr>
              <w:spacing w:after="0" w:before="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VALOR GLOBAL</w:t>
            </w:r>
          </w:p>
        </w:tc>
      </w:tr>
      <w:tr>
        <w:trPr>
          <w:cantSplit w:val="0"/>
          <w:tblHeader w:val="0"/>
        </w:trPr>
        <w:tc>
          <w:tcPr/>
          <w:p w:rsidR="00000000" w:rsidDel="00000000" w:rsidP="00000000" w:rsidRDefault="00000000" w:rsidRPr="00000000" w14:paraId="00000022">
            <w:pPr>
              <w:spacing w:after="0" w:before="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NOSSA CASA EMPREENDIMENTOS IMOBILIÁRIOS LTDA, inscrita no CNPJ sob o nº 20.750.124/0001-00</w:t>
            </w:r>
          </w:p>
        </w:tc>
        <w:tc>
          <w:tcPr/>
          <w:p w:rsidR="00000000" w:rsidDel="00000000" w:rsidP="00000000" w:rsidRDefault="00000000" w:rsidRPr="00000000" w14:paraId="00000023">
            <w:pPr>
              <w:spacing w:after="0" w:before="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R$ 13.229,40 (treze mil, duzentos e vinte e nove reais e quarenta centavos)</w:t>
            </w:r>
          </w:p>
        </w:tc>
      </w:tr>
    </w:tbl>
    <w:p w:rsidR="00000000" w:rsidDel="00000000" w:rsidP="00000000" w:rsidRDefault="00000000" w:rsidRPr="00000000" w14:paraId="0000002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Nos termos do §3º do artigo 75 da Lei nº 14.133/2021 e na Portaria nº 58/2025 do CRECI/PB, este ato será disponibilizado no sítio eletrônico do CRECI/PB pelo prazo de 03 (três) dias úteis, para que eventuais interessados possam ofertar proposta mais vantajosa.</w:t>
      </w:r>
    </w:p>
    <w:p w:rsidR="00000000" w:rsidDel="00000000" w:rsidP="00000000" w:rsidRDefault="00000000" w:rsidRPr="00000000" w14:paraId="0000002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Propostas e documentação de habilitação devem ser enviadas ao e-mail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compras@creci-pb.gov.br</w:t>
      </w:r>
      <w:r w:rsidDel="00000000" w:rsidR="00000000" w:rsidRPr="00000000">
        <w:rPr>
          <w:rFonts w:ascii="Times New Roman" w:cs="Times New Roman" w:eastAsia="Times New Roman" w:hAnsi="Times New Roman"/>
          <w:sz w:val="24"/>
          <w:szCs w:val="24"/>
          <w:rtl w:val="0"/>
        </w:rPr>
        <w:t xml:space="preserve"> durante o prazo mencionado.</w:t>
      </w:r>
    </w:p>
    <w:p w:rsidR="00000000" w:rsidDel="00000000" w:rsidP="00000000" w:rsidRDefault="00000000" w:rsidRPr="00000000" w14:paraId="0000002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 contratação observará as condições, especificações, exigências de habilitação, execução, fiscalização, pagamento e demais disposições constantes neste Aviso, no Termo de Referência e na minuta contratual. </w:t>
      </w:r>
    </w:p>
    <w:p w:rsidR="00000000" w:rsidDel="00000000" w:rsidP="00000000" w:rsidRDefault="00000000" w:rsidRPr="00000000" w14:paraId="0000002A">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HABILITAÇÃO </w:t>
      </w:r>
    </w:p>
    <w:p w:rsidR="00000000" w:rsidDel="00000000" w:rsidP="00000000" w:rsidRDefault="00000000" w:rsidRPr="00000000" w14:paraId="0000002C">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before="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Habilitação Jurídica:</w:t>
      </w:r>
    </w:p>
    <w:p w:rsidR="00000000" w:rsidDel="00000000" w:rsidP="00000000" w:rsidRDefault="00000000" w:rsidRPr="00000000" w14:paraId="0000002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Empresário individual: inscrição no Registro Público de Empresas Mercantis, a cargo da Junta Comercial da respectiva sede;</w:t>
      </w:r>
    </w:p>
    <w:p w:rsidR="00000000" w:rsidDel="00000000" w:rsidP="00000000" w:rsidRDefault="00000000" w:rsidRPr="00000000" w14:paraId="00000030">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Microempreendedor Individual – MEI: Certificado da Condição de Microempreendedor Individual - CCMEI, cuja aceitação ficará condicionada à verificação da autenticidade no sítio https://www.gov.br/empresas-e-negocios/pt-br/empreendedor;</w:t>
      </w:r>
    </w:p>
    <w:p w:rsidR="00000000" w:rsidDel="00000000" w:rsidP="00000000" w:rsidRDefault="00000000" w:rsidRPr="00000000" w14:paraId="00000032">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Sociedade empresária, sociedade limitada unipessoal – SLU: 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03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3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 Sociedade simples: inscrição do ato constitutivo no Registro Civil de Pessoas Jurídicas do local de sua sede, acompanhada de documento comprobatório de seus administradores;</w:t>
      </w:r>
    </w:p>
    <w:p w:rsidR="00000000" w:rsidDel="00000000" w:rsidP="00000000" w:rsidRDefault="00000000" w:rsidRPr="00000000" w14:paraId="0000003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00000" w:rsidDel="00000000" w:rsidP="00000000" w:rsidRDefault="00000000" w:rsidRPr="00000000" w14:paraId="0000003A">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 Os documentos apresentados deverão estar acompanhados de todas as alterações ou da consolidação respectiva.</w:t>
      </w:r>
    </w:p>
    <w:p w:rsidR="00000000" w:rsidDel="00000000" w:rsidP="00000000" w:rsidRDefault="00000000" w:rsidRPr="00000000" w14:paraId="0000003C">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Habilitação Fiscal, Social e Trabalhista</w:t>
      </w:r>
    </w:p>
    <w:p w:rsidR="00000000" w:rsidDel="00000000" w:rsidP="00000000" w:rsidRDefault="00000000" w:rsidRPr="00000000" w14:paraId="0000003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Prova de inscrição no Cadastro Nacional de Pessoas Jurídicas; </w:t>
      </w:r>
    </w:p>
    <w:p w:rsidR="00000000" w:rsidDel="00000000" w:rsidP="00000000" w:rsidRDefault="00000000" w:rsidRPr="00000000" w14:paraId="00000040">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rsidR="00000000" w:rsidDel="00000000" w:rsidP="00000000" w:rsidRDefault="00000000" w:rsidRPr="00000000" w14:paraId="00000042">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Prova de regularidade com o Fundo de Garantia do Tempo de Serviço (FGTS); </w:t>
      </w:r>
    </w:p>
    <w:p w:rsidR="00000000" w:rsidDel="00000000" w:rsidP="00000000" w:rsidRDefault="00000000" w:rsidRPr="00000000" w14:paraId="0000004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00000" w:rsidDel="00000000" w:rsidP="00000000" w:rsidRDefault="00000000" w:rsidRPr="00000000" w14:paraId="0000004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 Prova de inscrição no cadastro de contribuintes Estadual e/ou municipal, se houver relativo ao domicílio ou sede do fornecedor, pertinente ao seu ramo de atividade e compatível com o objeto contratual; </w:t>
      </w:r>
    </w:p>
    <w:p w:rsidR="00000000" w:rsidDel="00000000" w:rsidP="00000000" w:rsidRDefault="00000000" w:rsidRPr="00000000" w14:paraId="0000004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 Prova de regularidade com a Fazenda Estadual e/ou municipal, do domicílio ou sede do fornecedor, relativa à atividade em cujo exercício contrata ou concorre; </w:t>
      </w:r>
    </w:p>
    <w:p w:rsidR="00000000" w:rsidDel="00000000" w:rsidP="00000000" w:rsidRDefault="00000000" w:rsidRPr="00000000" w14:paraId="0000004A">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rsidR="00000000" w:rsidDel="00000000" w:rsidP="00000000" w:rsidRDefault="00000000" w:rsidRPr="00000000" w14:paraId="0000004C">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 Declaração de que não emprega menores de dezoito anos e de qualquer trabalho a menores de dezesseis anos, salvo na condição de aprendiz, a partir de quatorze anos, nos termos do art. 68, inc. VI, da lei n° 14.133/2021, c/c. o art. 7°, XXXIII, da Constituição Federal de 1988.</w:t>
      </w:r>
    </w:p>
    <w:p w:rsidR="00000000" w:rsidDel="00000000" w:rsidP="00000000" w:rsidRDefault="00000000" w:rsidRPr="00000000" w14:paraId="0000004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Qualificação Técnica</w:t>
      </w:r>
    </w:p>
    <w:p w:rsidR="00000000" w:rsidDel="00000000" w:rsidP="00000000" w:rsidRDefault="00000000" w:rsidRPr="00000000" w14:paraId="00000050">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Comprovação de aptidão para execução de serviço de complexidade operacional equivalente ou superior com o objeto desta contratação, por meio da apresentação de certidões ou atestados, emitidos por pessoas jurídicas de direito público ou privado.</w:t>
      </w:r>
    </w:p>
    <w:p w:rsidR="00000000" w:rsidDel="00000000" w:rsidP="00000000" w:rsidRDefault="00000000" w:rsidRPr="00000000" w14:paraId="00000052">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Será considerado compatível o atestado que comprove a execução de serviços de natureza semelhante, contendo descrição do escopo.</w:t>
      </w:r>
    </w:p>
    <w:p w:rsidR="00000000" w:rsidDel="00000000" w:rsidP="00000000" w:rsidRDefault="00000000" w:rsidRPr="00000000" w14:paraId="0000005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Comprovação de responsável técnico habilitado e regular perante o Conselho Profissional competente (CREA ou CAU), responsabilizando-se pela emissão, quando cabível, de Anotação de Responsabilidade Técnica (ART), Registro de Responsabilidade Técnica (RRT) ou documento equivalente aplicável.</w:t>
      </w:r>
    </w:p>
    <w:p w:rsidR="00000000" w:rsidDel="00000000" w:rsidP="00000000" w:rsidRDefault="00000000" w:rsidRPr="00000000" w14:paraId="0000005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 Declaração de disponibilidade e capacidade de execução, indicando que dispõe de equipe, recursos e meios necessários para cumprir o escopo previsto no Termo de Referência.</w:t>
      </w:r>
    </w:p>
    <w:p w:rsidR="00000000" w:rsidDel="00000000" w:rsidP="00000000" w:rsidRDefault="00000000" w:rsidRPr="00000000" w14:paraId="0000005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3.3.5. A exigência de qualificação técnica observará o princípio da proporcionalidade, vedadas exigências irrelevantes, excessivas ou que restrinjam injustificadamente a participação de interessados, considerando tratar-se de contratação direta por dispensa.</w:t>
      </w:r>
      <w:r w:rsidDel="00000000" w:rsidR="00000000" w:rsidRPr="00000000">
        <w:rPr>
          <w:rtl w:val="0"/>
        </w:rPr>
      </w:r>
    </w:p>
    <w:p w:rsidR="00000000" w:rsidDel="00000000" w:rsidP="00000000" w:rsidRDefault="00000000" w:rsidRPr="00000000" w14:paraId="0000005A">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DO REAJUSTAMENTO EM SENTIDO GERAL </w:t>
      </w:r>
    </w:p>
    <w:p w:rsidR="00000000" w:rsidDel="00000000" w:rsidP="00000000" w:rsidRDefault="00000000" w:rsidRPr="00000000" w14:paraId="0000005C">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As regras acerca do reajustamento em sentido geral do valor contratual são as estabelecidas no Contrato, anexo a este Ato. </w:t>
      </w:r>
    </w:p>
    <w:p w:rsidR="00000000" w:rsidDel="00000000" w:rsidP="00000000" w:rsidRDefault="00000000" w:rsidRPr="00000000" w14:paraId="0000005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DO RECEBIMENTO DO OBJETO E DA FISCALIZAÇÃO </w:t>
      </w:r>
    </w:p>
    <w:p w:rsidR="00000000" w:rsidDel="00000000" w:rsidP="00000000" w:rsidRDefault="00000000" w:rsidRPr="00000000" w14:paraId="00000060">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Os critérios de recebimento e aceitação do objeto e de fiscalização estão previstos no Termo de Referência. </w:t>
      </w:r>
    </w:p>
    <w:p w:rsidR="00000000" w:rsidDel="00000000" w:rsidP="00000000" w:rsidRDefault="00000000" w:rsidRPr="00000000" w14:paraId="00000062">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DAS OBRIGAÇÕES DA CONTRATANTE E DA CONTRATADA </w:t>
      </w:r>
    </w:p>
    <w:p w:rsidR="00000000" w:rsidDel="00000000" w:rsidP="00000000" w:rsidRDefault="00000000" w:rsidRPr="00000000" w14:paraId="0000006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As obrigações da Contratante e da Contratada são as estabelecidas no Contrato e no Termo de Referência, anexo a este Ato. </w:t>
      </w:r>
    </w:p>
    <w:p w:rsidR="00000000" w:rsidDel="00000000" w:rsidP="00000000" w:rsidRDefault="00000000" w:rsidRPr="00000000" w14:paraId="0000006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DO PAGAMENTO </w:t>
      </w:r>
    </w:p>
    <w:p w:rsidR="00000000" w:rsidDel="00000000" w:rsidP="00000000" w:rsidRDefault="00000000" w:rsidRPr="00000000" w14:paraId="0000006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O pagamento será efetuado conforme disposto no Termo de Referência. </w:t>
      </w:r>
    </w:p>
    <w:p w:rsidR="00000000" w:rsidDel="00000000" w:rsidP="00000000" w:rsidRDefault="00000000" w:rsidRPr="00000000" w14:paraId="0000006A">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 Não é admitida a cessão de crédito decorrente da contratação de que trata este Instrumento Convocatório. </w:t>
      </w:r>
    </w:p>
    <w:p w:rsidR="00000000" w:rsidDel="00000000" w:rsidP="00000000" w:rsidRDefault="00000000" w:rsidRPr="00000000" w14:paraId="0000006C">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CRITÉRIOS DE SELEÇÃO DO FORNECEDOR</w:t>
      </w:r>
    </w:p>
    <w:p w:rsidR="00000000" w:rsidDel="00000000" w:rsidP="00000000" w:rsidRDefault="00000000" w:rsidRPr="00000000" w14:paraId="0000006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O fornecedor será selecionado conforme disposto no Termo de Referência. </w:t>
      </w:r>
    </w:p>
    <w:p w:rsidR="00000000" w:rsidDel="00000000" w:rsidP="00000000" w:rsidRDefault="00000000" w:rsidRPr="00000000" w14:paraId="00000070">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INFRAÇÕES E SANÇÕES ADMINISTRATIVAS </w:t>
      </w:r>
    </w:p>
    <w:p w:rsidR="00000000" w:rsidDel="00000000" w:rsidP="00000000" w:rsidRDefault="00000000" w:rsidRPr="00000000" w14:paraId="00000072">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Conforme cláusulas estabelecidas no Contrato, anexo a este Ato. </w:t>
      </w:r>
    </w:p>
    <w:p w:rsidR="00000000" w:rsidDel="00000000" w:rsidP="00000000" w:rsidRDefault="00000000" w:rsidRPr="00000000" w14:paraId="00000074">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before="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DAS DISPOSIÇÕES GERAIS </w:t>
      </w:r>
    </w:p>
    <w:p w:rsidR="00000000" w:rsidDel="00000000" w:rsidP="00000000" w:rsidRDefault="00000000" w:rsidRPr="00000000" w14:paraId="0000007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Este Aviso e seus anexos serão interpretados em conformidade com os princípios da legalidade, motivação, interesse público, eficiência, segurança jurídica e seleção da proposta apta a atender, de forma tempestiva e adequada, à situação emergencial que fundamenta a contratação.</w:t>
      </w:r>
    </w:p>
    <w:p w:rsidR="00000000" w:rsidDel="00000000" w:rsidP="00000000" w:rsidRDefault="00000000" w:rsidRPr="00000000" w14:paraId="00000078">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Os fornecedores assumem todos os custos de preparação e apresentação de suas propostas e a Administração não será, em nenhum caso, responsável por esses custos, independentemente da condução ou do resultado do processo de contratação.</w:t>
      </w:r>
    </w:p>
    <w:p w:rsidR="00000000" w:rsidDel="00000000" w:rsidP="00000000" w:rsidRDefault="00000000" w:rsidRPr="00000000" w14:paraId="0000007A">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Na contagem dos prazos estabelecidos neste Ato e seus Anexos, excluir-se-á o dia do início e incluir-se-á o do vencimento. Só se iniciam e vencem os prazos em dias de expediente na Administração.</w:t>
      </w:r>
    </w:p>
    <w:p w:rsidR="00000000" w:rsidDel="00000000" w:rsidP="00000000" w:rsidRDefault="00000000" w:rsidRPr="00000000" w14:paraId="0000007C">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O desatendimento de exigências formais não essenciais não importará o afastamento do fornecedor, desde que seja possível o aproveitamento do ato, observados os princípios da isonomia e do interesse público.</w:t>
      </w:r>
    </w:p>
    <w:p w:rsidR="00000000" w:rsidDel="00000000" w:rsidP="00000000" w:rsidRDefault="00000000" w:rsidRPr="00000000" w14:paraId="0000007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Em caso de divergência entre disposições deste Ato e de seus anexos ou demais peças que compõem o processo, prevalecerá as deste Ato. </w:t>
      </w:r>
    </w:p>
    <w:p w:rsidR="00000000" w:rsidDel="00000000" w:rsidP="00000000" w:rsidRDefault="00000000" w:rsidRPr="00000000" w14:paraId="00000080">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Integram este Ato, para todos os fins e efeitos, os seguintes anexos: </w:t>
      </w:r>
    </w:p>
    <w:p w:rsidR="00000000" w:rsidDel="00000000" w:rsidP="00000000" w:rsidRDefault="00000000" w:rsidRPr="00000000" w14:paraId="00000082">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before="0" w:line="276"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Anexo I – Termo de Referência. </w:t>
      </w:r>
      <w:r w:rsidDel="00000000" w:rsidR="00000000" w:rsidRPr="00000000">
        <w:rPr>
          <w:rtl w:val="0"/>
        </w:rPr>
      </w:r>
    </w:p>
    <w:p w:rsidR="00000000" w:rsidDel="00000000" w:rsidP="00000000" w:rsidRDefault="00000000" w:rsidRPr="00000000" w14:paraId="00000084">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II – Minuta do Contrato. </w:t>
      </w:r>
    </w:p>
    <w:p w:rsidR="00000000" w:rsidDel="00000000" w:rsidP="00000000" w:rsidRDefault="00000000" w:rsidRPr="00000000" w14:paraId="00000085">
      <w:pPr>
        <w:spacing w:after="0" w:before="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João Pessoa – PB, 22 de junho de 2026.</w:t>
      </w:r>
    </w:p>
    <w:p w:rsidR="00000000" w:rsidDel="00000000" w:rsidP="00000000" w:rsidRDefault="00000000" w:rsidRPr="00000000" w14:paraId="00000086">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before="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r>
    </w:p>
    <w:p w:rsidR="00000000" w:rsidDel="00000000" w:rsidP="00000000" w:rsidRDefault="00000000" w:rsidRPr="00000000" w14:paraId="00000088">
      <w:pPr>
        <w:spacing w:after="0" w:before="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Rômulo Soares</w:t>
      </w:r>
    </w:p>
    <w:p w:rsidR="00000000" w:rsidDel="00000000" w:rsidP="00000000" w:rsidRDefault="00000000" w:rsidRPr="00000000" w14:paraId="00000089">
      <w:pPr>
        <w:spacing w:after="0" w:before="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 CRECI/PB</w:t>
      </w:r>
    </w:p>
    <w:p w:rsidR="00000000" w:rsidDel="00000000" w:rsidP="00000000" w:rsidRDefault="00000000" w:rsidRPr="00000000" w14:paraId="0000008A">
      <w:pPr>
        <w:spacing w:after="0" w:before="0" w:line="276" w:lineRule="auto"/>
        <w:jc w:val="left"/>
        <w:rPr>
          <w:rFonts w:ascii="Times New Roman" w:cs="Times New Roman" w:eastAsia="Times New Roman" w:hAnsi="Times New Roman"/>
          <w:b w:val="1"/>
          <w:bCs w:val="1"/>
          <w:sz w:val="24"/>
          <w:szCs w:val="24"/>
          <w:u w:val="single"/>
        </w:rPr>
      </w:pPr>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417" w:top="2692" w:left="1134"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252"/>
        <w:tab w:val="right" w:leader="none" w:pos="8504"/>
        <w:tab w:val="left" w:leader="none" w:pos="7755"/>
      </w:tabs>
      <w:spacing w:after="0" w:line="240" w:lineRule="auto"/>
      <w:jc w:val="center"/>
      <w:rPr>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-678169</wp:posOffset>
          </wp:positionH>
          <wp:positionV relativeFrom="paragraph">
            <wp:posOffset>-389245</wp:posOffset>
          </wp:positionV>
          <wp:extent cx="7560310" cy="1066800"/>
          <wp:effectExtent b="0" l="0" r="0" t="0"/>
          <wp:wrapNone/>
          <wp:docPr descr="rodape-timbrado-pagina FINA.png" id="2" name="image1.png"/>
          <a:graphic>
            <a:graphicData uri="http://schemas.openxmlformats.org/drawingml/2006/picture">
              <pic:pic>
                <pic:nvPicPr>
                  <pic:cNvPr descr="rodape-timbrado-pagina FINA.png" id="0" name="image1.png"/>
                  <pic:cNvPicPr preferRelativeResize="0"/>
                </pic:nvPicPr>
                <pic:blipFill>
                  <a:blip r:embed="rId1"/>
                  <a:srcRect b="0" l="0" r="0" t="0"/>
                  <a:stretch>
                    <a:fillRect/>
                  </a:stretch>
                </pic:blipFill>
                <pic:spPr>
                  <a:xfrm>
                    <a:off x="0" y="0"/>
                    <a:ext cx="7560310" cy="10668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-746750</wp:posOffset>
          </wp:positionH>
          <wp:positionV relativeFrom="paragraph">
            <wp:posOffset>-396864</wp:posOffset>
          </wp:positionV>
          <wp:extent cx="7560945" cy="866775"/>
          <wp:effectExtent b="0" l="0" r="0" t="0"/>
          <wp:wrapNone/>
          <wp:docPr descr="cabecalho-timbrado-pagina FINA.png" id="1" name="image3.png"/>
          <a:graphic>
            <a:graphicData uri="http://schemas.openxmlformats.org/drawingml/2006/picture">
              <pic:pic>
                <pic:nvPicPr>
                  <pic:cNvPr descr="cabecalho-timbrado-pagina FINA.png" id="0" name="image3.png"/>
                  <pic:cNvPicPr preferRelativeResize="0"/>
                </pic:nvPicPr>
                <pic:blipFill>
                  <a:blip r:embed="rId1"/>
                  <a:srcRect b="0" l="0" r="0" t="0"/>
                  <a:stretch>
                    <a:fillRect/>
                  </a:stretch>
                </pic:blipFill>
                <pic:spPr>
                  <a:xfrm>
                    <a:off x="0" y="0"/>
                    <a:ext cx="7560945" cy="8667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595.2pt;height:500.1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595.2pt;height:500.1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ci-pb.gov.br/"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U4Gub2Ea06vKU9liwqOH1ct5A==">CgMxLjA4AHIhMS1ZVExKUjV4N1FkZTlHU2NCdVJjTElsUWJYMjByZkds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